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7</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154沙河市行政审批局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955.89</w:t>
            </w:r>
          </w:p>
        </w:tc>
        <w:tc>
          <w:tcPr>
            <w:tcW w:w="4535" w:type="dxa"/>
            <w:vAlign w:val="center"/>
          </w:tcPr>
          <w:p>
            <w:pPr>
              <w:pStyle w:val="16"/>
            </w:pPr>
            <w:r>
              <w:t>一、一般公共服务支出</w:t>
            </w:r>
          </w:p>
        </w:tc>
        <w:tc>
          <w:tcPr>
            <w:tcW w:w="2126" w:type="dxa"/>
            <w:vAlign w:val="center"/>
          </w:tcPr>
          <w:p>
            <w:pPr>
              <w:pStyle w:val="15"/>
            </w:pPr>
            <w:r>
              <w:t>850.85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十、其他机关事业单位基本养老保险基金支出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十一、卫生健康支出</w:t>
            </w:r>
          </w:p>
        </w:tc>
        <w:tc>
          <w:tcPr>
            <w:tcW w:w="2126" w:type="dxa"/>
            <w:vAlign w:val="center"/>
          </w:tcPr>
          <w:p>
            <w:pPr>
              <w:pStyle w:val="15"/>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二十一、住房保障支出</w:t>
            </w:r>
          </w:p>
        </w:tc>
        <w:tc>
          <w:tcPr>
            <w:tcW w:w="2126" w:type="dxa"/>
            <w:vAlign w:val="center"/>
          </w:tcPr>
          <w:p>
            <w:pPr>
              <w:pStyle w:val="15"/>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三十二、人行科目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本年收入合计</w:t>
            </w:r>
          </w:p>
        </w:tc>
        <w:tc>
          <w:tcPr>
            <w:tcW w:w="2126" w:type="dxa"/>
            <w:vAlign w:val="center"/>
          </w:tcPr>
          <w:p>
            <w:pPr>
              <w:pStyle w:val="19"/>
            </w:pPr>
            <w:r>
              <w:t>955.89</w:t>
            </w:r>
          </w:p>
        </w:tc>
        <w:tc>
          <w:tcPr>
            <w:tcW w:w="4535" w:type="dxa"/>
            <w:vAlign w:val="center"/>
          </w:tcPr>
          <w:p>
            <w:pPr>
              <w:pStyle w:val="18"/>
            </w:pPr>
            <w:r>
              <w:t>本年支出合计</w:t>
            </w:r>
          </w:p>
        </w:tc>
        <w:tc>
          <w:tcPr>
            <w:tcW w:w="2126" w:type="dxa"/>
            <w:vAlign w:val="center"/>
          </w:tcPr>
          <w:p>
            <w:pPr>
              <w:pStyle w:val="19"/>
            </w:pPr>
            <w:r>
              <w:t>955.89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4535" w:type="dxa"/>
            <w:vAlign w:val="center"/>
          </w:tcPr>
          <w:p>
            <w:pPr>
              <w:pStyle w:val="18"/>
            </w:pPr>
            <w:r>
              <w:t>收入总计</w:t>
            </w:r>
          </w:p>
        </w:tc>
        <w:tc>
          <w:tcPr>
            <w:tcW w:w="2126" w:type="dxa"/>
            <w:vAlign w:val="center"/>
          </w:tcPr>
          <w:p>
            <w:pPr>
              <w:pStyle w:val="19"/>
            </w:pPr>
            <w:r>
              <w:t>955.89</w:t>
            </w:r>
          </w:p>
        </w:tc>
        <w:tc>
          <w:tcPr>
            <w:tcW w:w="4535" w:type="dxa"/>
            <w:vAlign w:val="center"/>
          </w:tcPr>
          <w:p>
            <w:pPr>
              <w:pStyle w:val="18"/>
            </w:pPr>
            <w:r>
              <w:t>支出总计</w:t>
            </w:r>
          </w:p>
        </w:tc>
        <w:tc>
          <w:tcPr>
            <w:tcW w:w="2126" w:type="dxa"/>
            <w:vAlign w:val="center"/>
          </w:tcPr>
          <w:p>
            <w:pPr>
              <w:pStyle w:val="19"/>
            </w:pPr>
            <w:r>
              <w:t>955.89</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154沙河市行政审批局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955.89</w:t>
            </w:r>
          </w:p>
        </w:tc>
        <w:tc>
          <w:tcPr>
            <w:tcW w:w="1134" w:type="dxa"/>
            <w:vAlign w:val="center"/>
          </w:tcPr>
          <w:p>
            <w:pPr>
              <w:pStyle w:val="19"/>
            </w:pPr>
            <w:r>
              <w:t>955.89</w:t>
            </w:r>
          </w:p>
        </w:tc>
        <w:tc>
          <w:tcPr>
            <w:tcW w:w="1134" w:type="dxa"/>
            <w:vAlign w:val="center"/>
          </w:tcPr>
          <w:p>
            <w:pPr>
              <w:pStyle w:val="19"/>
            </w:pPr>
            <w:r>
              <w:t>955.89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699.86</w:t>
            </w:r>
          </w:p>
        </w:tc>
        <w:tc>
          <w:tcPr>
            <w:tcW w:w="1134" w:type="dxa"/>
            <w:vAlign w:val="center"/>
          </w:tcPr>
          <w:p>
            <w:pPr>
              <w:pStyle w:val="15"/>
            </w:pPr>
            <w:r>
              <w:t>699.86</w:t>
            </w:r>
          </w:p>
        </w:tc>
        <w:tc>
          <w:tcPr>
            <w:tcW w:w="1134" w:type="dxa"/>
            <w:vAlign w:val="center"/>
          </w:tcPr>
          <w:p>
            <w:pPr>
              <w:pStyle w:val="15"/>
            </w:pPr>
            <w:r>
              <w:t>699.86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2010306</w:t>
            </w:r>
          </w:p>
        </w:tc>
        <w:tc>
          <w:tcPr>
            <w:tcW w:w="1559" w:type="dxa"/>
            <w:vAlign w:val="center"/>
          </w:tcPr>
          <w:p>
            <w:pPr>
              <w:pStyle w:val="16"/>
            </w:pPr>
            <w:r>
              <w:t>政务公开审批</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955.89</w:t>
            </w:r>
          </w:p>
        </w:tc>
        <w:tc>
          <w:tcPr>
            <w:tcW w:w="1361" w:type="dxa"/>
            <w:vAlign w:val="center"/>
          </w:tcPr>
          <w:p>
            <w:pPr>
              <w:pStyle w:val="19"/>
            </w:pPr>
            <w:r>
              <w:t>804.90</w:t>
            </w:r>
          </w:p>
        </w:tc>
        <w:tc>
          <w:tcPr>
            <w:tcW w:w="1361" w:type="dxa"/>
            <w:vAlign w:val="center"/>
          </w:tcPr>
          <w:p>
            <w:pPr>
              <w:pStyle w:val="19"/>
            </w:pPr>
            <w:r>
              <w:t>150.99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850.85</w:t>
            </w:r>
          </w:p>
        </w:tc>
        <w:tc>
          <w:tcPr>
            <w:tcW w:w="1361" w:type="dxa"/>
            <w:vAlign w:val="center"/>
          </w:tcPr>
          <w:p>
            <w:pPr>
              <w:pStyle w:val="15"/>
            </w:pPr>
            <w:r>
              <w:t>699.86</w:t>
            </w: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850.85</w:t>
            </w:r>
          </w:p>
        </w:tc>
        <w:tc>
          <w:tcPr>
            <w:tcW w:w="1361" w:type="dxa"/>
            <w:vAlign w:val="center"/>
          </w:tcPr>
          <w:p>
            <w:pPr>
              <w:pStyle w:val="15"/>
            </w:pPr>
            <w:r>
              <w:t>699.86</w:t>
            </w: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699.86</w:t>
            </w:r>
          </w:p>
        </w:tc>
        <w:tc>
          <w:tcPr>
            <w:tcW w:w="1361" w:type="dxa"/>
            <w:vAlign w:val="center"/>
          </w:tcPr>
          <w:p>
            <w:pPr>
              <w:pStyle w:val="15"/>
            </w:pPr>
            <w:r>
              <w:t>699.86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2010306</w:t>
            </w:r>
          </w:p>
        </w:tc>
        <w:tc>
          <w:tcPr>
            <w:tcW w:w="4535" w:type="dxa"/>
            <w:vAlign w:val="center"/>
          </w:tcPr>
          <w:p>
            <w:pPr>
              <w:pStyle w:val="16"/>
            </w:pPr>
            <w:r>
              <w:t>政务公开审批</w:t>
            </w: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46.06</w:t>
            </w:r>
          </w:p>
        </w:tc>
        <w:tc>
          <w:tcPr>
            <w:tcW w:w="1361" w:type="dxa"/>
            <w:vAlign w:val="center"/>
          </w:tcPr>
          <w:p>
            <w:pPr>
              <w:pStyle w:val="15"/>
            </w:pPr>
            <w:r>
              <w:t>46.06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46.06</w:t>
            </w:r>
          </w:p>
        </w:tc>
        <w:tc>
          <w:tcPr>
            <w:tcW w:w="1361" w:type="dxa"/>
            <w:vAlign w:val="center"/>
          </w:tcPr>
          <w:p>
            <w:pPr>
              <w:pStyle w:val="15"/>
            </w:pPr>
            <w:r>
              <w:t>46.06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46.06</w:t>
            </w:r>
          </w:p>
        </w:tc>
        <w:tc>
          <w:tcPr>
            <w:tcW w:w="1361" w:type="dxa"/>
            <w:vAlign w:val="center"/>
          </w:tcPr>
          <w:p>
            <w:pPr>
              <w:pStyle w:val="15"/>
            </w:pPr>
            <w:r>
              <w:t>46.06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21.19</w:t>
            </w:r>
          </w:p>
        </w:tc>
        <w:tc>
          <w:tcPr>
            <w:tcW w:w="1361" w:type="dxa"/>
            <w:vAlign w:val="center"/>
          </w:tcPr>
          <w:p>
            <w:pPr>
              <w:pStyle w:val="15"/>
            </w:pPr>
            <w:r>
              <w:t>21.19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21.19</w:t>
            </w:r>
          </w:p>
        </w:tc>
        <w:tc>
          <w:tcPr>
            <w:tcW w:w="1361" w:type="dxa"/>
            <w:vAlign w:val="center"/>
          </w:tcPr>
          <w:p>
            <w:pPr>
              <w:pStyle w:val="15"/>
            </w:pPr>
            <w:r>
              <w:t>21.19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2101199</w:t>
            </w:r>
          </w:p>
        </w:tc>
        <w:tc>
          <w:tcPr>
            <w:tcW w:w="4535" w:type="dxa"/>
            <w:vAlign w:val="center"/>
          </w:tcPr>
          <w:p>
            <w:pPr>
              <w:pStyle w:val="16"/>
            </w:pPr>
            <w:r>
              <w:t>其他行政事业单位医疗支出</w:t>
            </w:r>
          </w:p>
        </w:tc>
        <w:tc>
          <w:tcPr>
            <w:tcW w:w="1361" w:type="dxa"/>
            <w:vAlign w:val="center"/>
          </w:tcPr>
          <w:p>
            <w:pPr>
              <w:pStyle w:val="15"/>
            </w:pPr>
            <w:r>
              <w:t>21.19</w:t>
            </w:r>
          </w:p>
        </w:tc>
        <w:tc>
          <w:tcPr>
            <w:tcW w:w="1361" w:type="dxa"/>
            <w:vAlign w:val="center"/>
          </w:tcPr>
          <w:p>
            <w:pPr>
              <w:pStyle w:val="15"/>
            </w:pPr>
            <w:r>
              <w:t>21.19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37.79</w:t>
            </w:r>
          </w:p>
        </w:tc>
        <w:tc>
          <w:tcPr>
            <w:tcW w:w="1361" w:type="dxa"/>
            <w:vAlign w:val="center"/>
          </w:tcPr>
          <w:p>
            <w:pPr>
              <w:pStyle w:val="15"/>
            </w:pPr>
            <w:r>
              <w:t>37.79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37.79</w:t>
            </w:r>
          </w:p>
        </w:tc>
        <w:tc>
          <w:tcPr>
            <w:tcW w:w="1361" w:type="dxa"/>
            <w:vAlign w:val="center"/>
          </w:tcPr>
          <w:p>
            <w:pPr>
              <w:pStyle w:val="15"/>
            </w:pPr>
            <w:r>
              <w:t>37.79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37.79</w:t>
            </w:r>
          </w:p>
        </w:tc>
        <w:tc>
          <w:tcPr>
            <w:tcW w:w="1361" w:type="dxa"/>
            <w:vAlign w:val="center"/>
          </w:tcPr>
          <w:p>
            <w:pPr>
              <w:pStyle w:val="15"/>
            </w:pPr>
            <w:r>
              <w:t>37.79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955.89</w:t>
            </w:r>
          </w:p>
        </w:tc>
        <w:tc>
          <w:tcPr>
            <w:tcW w:w="3402" w:type="dxa"/>
            <w:vAlign w:val="center"/>
          </w:tcPr>
          <w:p>
            <w:pPr>
              <w:pStyle w:val="16"/>
            </w:pPr>
            <w:r>
              <w:t>一、一般公共服务支出</w:t>
            </w:r>
          </w:p>
        </w:tc>
        <w:tc>
          <w:tcPr>
            <w:tcW w:w="1474" w:type="dxa"/>
            <w:vAlign w:val="center"/>
          </w:tcPr>
          <w:p>
            <w:pPr>
              <w:pStyle w:val="15"/>
            </w:pPr>
            <w:r>
              <w:t>850.85</w:t>
            </w:r>
          </w:p>
        </w:tc>
        <w:tc>
          <w:tcPr>
            <w:tcW w:w="1474" w:type="dxa"/>
            <w:vAlign w:val="center"/>
          </w:tcPr>
          <w:p>
            <w:pPr>
              <w:pStyle w:val="15"/>
            </w:pPr>
            <w:r>
              <w:t>850.85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46.06</w:t>
            </w:r>
          </w:p>
        </w:tc>
        <w:tc>
          <w:tcPr>
            <w:tcW w:w="1474" w:type="dxa"/>
            <w:vAlign w:val="center"/>
          </w:tcPr>
          <w:p>
            <w:pPr>
              <w:pStyle w:val="15"/>
            </w:pPr>
            <w:r>
              <w:t>46.06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十、其他机关事业单位基本养老保险基金支出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十一、卫生健康支出</w:t>
            </w:r>
          </w:p>
        </w:tc>
        <w:tc>
          <w:tcPr>
            <w:tcW w:w="1474" w:type="dxa"/>
            <w:vAlign w:val="center"/>
          </w:tcPr>
          <w:p>
            <w:pPr>
              <w:pStyle w:val="15"/>
            </w:pPr>
            <w:r>
              <w:t>21.19</w:t>
            </w:r>
          </w:p>
        </w:tc>
        <w:tc>
          <w:tcPr>
            <w:tcW w:w="1474" w:type="dxa"/>
            <w:vAlign w:val="center"/>
          </w:tcPr>
          <w:p>
            <w:pPr>
              <w:pStyle w:val="15"/>
            </w:pPr>
            <w:r>
              <w:t>21.19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二十一、住房保障支出</w:t>
            </w:r>
          </w:p>
        </w:tc>
        <w:tc>
          <w:tcPr>
            <w:tcW w:w="1474" w:type="dxa"/>
            <w:vAlign w:val="center"/>
          </w:tcPr>
          <w:p>
            <w:pPr>
              <w:pStyle w:val="15"/>
            </w:pPr>
            <w:r>
              <w:t>37.79</w:t>
            </w:r>
          </w:p>
        </w:tc>
        <w:tc>
          <w:tcPr>
            <w:tcW w:w="1474" w:type="dxa"/>
            <w:vAlign w:val="center"/>
          </w:tcPr>
          <w:p>
            <w:pPr>
              <w:pStyle w:val="15"/>
            </w:pPr>
            <w:r>
              <w:t>37.79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三十二、人行科目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8"/>
            </w:pPr>
            <w:r>
              <w:t>本年收入合计</w:t>
            </w:r>
          </w:p>
        </w:tc>
        <w:tc>
          <w:tcPr>
            <w:tcW w:w="1474" w:type="dxa"/>
            <w:vAlign w:val="center"/>
          </w:tcPr>
          <w:p>
            <w:pPr>
              <w:pStyle w:val="19"/>
            </w:pPr>
            <w:r>
              <w:t>955.89</w:t>
            </w:r>
          </w:p>
        </w:tc>
        <w:tc>
          <w:tcPr>
            <w:tcW w:w="3402" w:type="dxa"/>
            <w:vAlign w:val="center"/>
          </w:tcPr>
          <w:p>
            <w:pPr>
              <w:pStyle w:val="18"/>
            </w:pPr>
            <w:r>
              <w:t>本年支出合计</w:t>
            </w:r>
          </w:p>
        </w:tc>
        <w:tc>
          <w:tcPr>
            <w:tcW w:w="1474" w:type="dxa"/>
            <w:vAlign w:val="center"/>
          </w:tcPr>
          <w:p>
            <w:pPr>
              <w:pStyle w:val="19"/>
            </w:pPr>
            <w:r>
              <w:t>955.89</w:t>
            </w:r>
          </w:p>
        </w:tc>
        <w:tc>
          <w:tcPr>
            <w:tcW w:w="1474" w:type="dxa"/>
            <w:vAlign w:val="center"/>
          </w:tcPr>
          <w:p>
            <w:pPr>
              <w:pStyle w:val="19"/>
            </w:pPr>
            <w:r>
              <w:t>955.89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3402" w:type="dxa"/>
            <w:vAlign w:val="center"/>
          </w:tcPr>
          <w:p>
            <w:pPr>
              <w:pStyle w:val="18"/>
            </w:pPr>
            <w:r>
              <w:t>收入总计</w:t>
            </w:r>
          </w:p>
        </w:tc>
        <w:tc>
          <w:tcPr>
            <w:tcW w:w="1474" w:type="dxa"/>
            <w:vAlign w:val="center"/>
          </w:tcPr>
          <w:p>
            <w:pPr>
              <w:pStyle w:val="19"/>
            </w:pPr>
            <w:r>
              <w:t>955.89</w:t>
            </w:r>
          </w:p>
        </w:tc>
        <w:tc>
          <w:tcPr>
            <w:tcW w:w="3402" w:type="dxa"/>
            <w:vAlign w:val="center"/>
          </w:tcPr>
          <w:p>
            <w:pPr>
              <w:pStyle w:val="18"/>
            </w:pPr>
            <w:r>
              <w:t>支出总计</w:t>
            </w:r>
          </w:p>
        </w:tc>
        <w:tc>
          <w:tcPr>
            <w:tcW w:w="1474" w:type="dxa"/>
            <w:vAlign w:val="center"/>
          </w:tcPr>
          <w:p>
            <w:pPr>
              <w:pStyle w:val="19"/>
            </w:pPr>
            <w:r>
              <w:t>955.89</w:t>
            </w:r>
          </w:p>
        </w:tc>
        <w:tc>
          <w:tcPr>
            <w:tcW w:w="1474" w:type="dxa"/>
            <w:vAlign w:val="center"/>
          </w:tcPr>
          <w:p>
            <w:pPr>
              <w:pStyle w:val="19"/>
            </w:pPr>
            <w:r>
              <w:t>955.89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955.89</w:t>
            </w:r>
          </w:p>
        </w:tc>
        <w:tc>
          <w:tcPr>
            <w:tcW w:w="2551" w:type="dxa"/>
            <w:vAlign w:val="center"/>
          </w:tcPr>
          <w:p>
            <w:pPr>
              <w:pStyle w:val="19"/>
            </w:pPr>
            <w:r>
              <w:t>804.90</w:t>
            </w:r>
          </w:p>
        </w:tc>
        <w:tc>
          <w:tcPr>
            <w:tcW w:w="2551" w:type="dxa"/>
            <w:vAlign w:val="center"/>
          </w:tcPr>
          <w:p>
            <w:pPr>
              <w:pStyle w:val="19"/>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850.85</w:t>
            </w:r>
          </w:p>
        </w:tc>
        <w:tc>
          <w:tcPr>
            <w:tcW w:w="2551" w:type="dxa"/>
            <w:vAlign w:val="center"/>
          </w:tcPr>
          <w:p>
            <w:pPr>
              <w:pStyle w:val="15"/>
            </w:pPr>
            <w:r>
              <w:t>699.86</w:t>
            </w: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850.85</w:t>
            </w:r>
          </w:p>
        </w:tc>
        <w:tc>
          <w:tcPr>
            <w:tcW w:w="2551" w:type="dxa"/>
            <w:vAlign w:val="center"/>
          </w:tcPr>
          <w:p>
            <w:pPr>
              <w:pStyle w:val="15"/>
            </w:pPr>
            <w:r>
              <w:t>699.86</w:t>
            </w: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699.86</w:t>
            </w:r>
          </w:p>
        </w:tc>
        <w:tc>
          <w:tcPr>
            <w:tcW w:w="2551" w:type="dxa"/>
            <w:vAlign w:val="center"/>
          </w:tcPr>
          <w:p>
            <w:pPr>
              <w:pStyle w:val="15"/>
            </w:pPr>
            <w:r>
              <w:t>699.86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2010306</w:t>
            </w:r>
          </w:p>
        </w:tc>
        <w:tc>
          <w:tcPr>
            <w:tcW w:w="4535" w:type="dxa"/>
            <w:vAlign w:val="center"/>
          </w:tcPr>
          <w:p>
            <w:pPr>
              <w:pStyle w:val="16"/>
            </w:pPr>
            <w:r>
              <w:t>政务公开审批</w:t>
            </w:r>
          </w:p>
        </w:tc>
        <w:tc>
          <w:tcPr>
            <w:tcW w:w="2551" w:type="dxa"/>
            <w:vAlign w:val="center"/>
          </w:tcPr>
          <w:p>
            <w:pPr>
              <w:pStyle w:val="15"/>
            </w:pPr>
            <w:r>
              <w:t>150.99</w:t>
            </w:r>
          </w:p>
        </w:tc>
        <w:tc>
          <w:tcPr>
            <w:tcW w:w="2551" w:type="dxa"/>
            <w:vAlign w:val="center"/>
          </w:tcPr>
          <w:p>
            <w:pPr>
              <w:pStyle w:val="15"/>
            </w:pP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804.90</w:t>
            </w:r>
          </w:p>
        </w:tc>
        <w:tc>
          <w:tcPr>
            <w:tcW w:w="2551" w:type="dxa"/>
            <w:vAlign w:val="center"/>
          </w:tcPr>
          <w:p>
            <w:pPr>
              <w:pStyle w:val="19"/>
            </w:pPr>
            <w:r>
              <w:t>777.53</w:t>
            </w:r>
          </w:p>
        </w:tc>
        <w:tc>
          <w:tcPr>
            <w:tcW w:w="2551" w:type="dxa"/>
            <w:vAlign w:val="center"/>
          </w:tcPr>
          <w:p>
            <w:pPr>
              <w:pStyle w:val="19"/>
            </w:pPr>
            <w:r>
              <w:t>27.37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776.70</w:t>
            </w:r>
          </w:p>
        </w:tc>
        <w:tc>
          <w:tcPr>
            <w:tcW w:w="2551" w:type="dxa"/>
            <w:vAlign w:val="center"/>
          </w:tcPr>
          <w:p>
            <w:pPr>
              <w:pStyle w:val="15"/>
            </w:pPr>
            <w:r>
              <w:t>776.70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156.20</w:t>
            </w:r>
          </w:p>
        </w:tc>
        <w:tc>
          <w:tcPr>
            <w:tcW w:w="2551" w:type="dxa"/>
            <w:vAlign w:val="center"/>
          </w:tcPr>
          <w:p>
            <w:pPr>
              <w:pStyle w:val="15"/>
            </w:pPr>
            <w:r>
              <w:t>156.20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43.08</w:t>
            </w:r>
          </w:p>
        </w:tc>
        <w:tc>
          <w:tcPr>
            <w:tcW w:w="2551" w:type="dxa"/>
            <w:vAlign w:val="center"/>
          </w:tcPr>
          <w:p>
            <w:pPr>
              <w:pStyle w:val="15"/>
            </w:pPr>
            <w:r>
              <w:t>43.08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52.89</w:t>
            </w:r>
          </w:p>
        </w:tc>
        <w:tc>
          <w:tcPr>
            <w:tcW w:w="2551" w:type="dxa"/>
            <w:vAlign w:val="center"/>
          </w:tcPr>
          <w:p>
            <w:pPr>
              <w:pStyle w:val="15"/>
            </w:pPr>
            <w:r>
              <w:t>52.89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58.26</w:t>
            </w:r>
          </w:p>
        </w:tc>
        <w:tc>
          <w:tcPr>
            <w:tcW w:w="2551" w:type="dxa"/>
            <w:vAlign w:val="center"/>
          </w:tcPr>
          <w:p>
            <w:pPr>
              <w:pStyle w:val="15"/>
            </w:pPr>
            <w:r>
              <w:t>58.26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361.23</w:t>
            </w:r>
          </w:p>
        </w:tc>
        <w:tc>
          <w:tcPr>
            <w:tcW w:w="2551" w:type="dxa"/>
            <w:vAlign w:val="center"/>
          </w:tcPr>
          <w:p>
            <w:pPr>
              <w:pStyle w:val="15"/>
            </w:pPr>
            <w:r>
              <w:t>361.23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27.37</w:t>
            </w:r>
          </w:p>
        </w:tc>
        <w:tc>
          <w:tcPr>
            <w:tcW w:w="2551" w:type="dxa"/>
            <w:vAlign w:val="center"/>
          </w:tcPr>
          <w:p>
            <w:pPr>
              <w:pStyle w:val="15"/>
            </w:pPr>
          </w:p>
        </w:tc>
        <w:tc>
          <w:tcPr>
            <w:tcW w:w="2551" w:type="dxa"/>
            <w:vAlign w:val="center"/>
          </w:tcPr>
          <w:p>
            <w:pPr>
              <w:pStyle w:val="15"/>
            </w:pPr>
            <w:r>
              <w:t>27.37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3.12</w:t>
            </w:r>
          </w:p>
        </w:tc>
        <w:tc>
          <w:tcPr>
            <w:tcW w:w="2551" w:type="dxa"/>
            <w:vAlign w:val="center"/>
          </w:tcPr>
          <w:p>
            <w:pPr>
              <w:pStyle w:val="15"/>
            </w:pPr>
          </w:p>
        </w:tc>
        <w:tc>
          <w:tcPr>
            <w:tcW w:w="2551" w:type="dxa"/>
            <w:vAlign w:val="center"/>
          </w:tcPr>
          <w:p>
            <w:pPr>
              <w:pStyle w:val="15"/>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5.58</w:t>
            </w:r>
          </w:p>
        </w:tc>
        <w:tc>
          <w:tcPr>
            <w:tcW w:w="2551" w:type="dxa"/>
            <w:vAlign w:val="center"/>
          </w:tcPr>
          <w:p>
            <w:pPr>
              <w:pStyle w:val="15"/>
            </w:pPr>
          </w:p>
        </w:tc>
        <w:tc>
          <w:tcPr>
            <w:tcW w:w="2551" w:type="dxa"/>
            <w:vAlign w:val="center"/>
          </w:tcPr>
          <w:p>
            <w:pPr>
              <w:pStyle w:val="15"/>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1.56</w:t>
            </w:r>
          </w:p>
        </w:tc>
        <w:tc>
          <w:tcPr>
            <w:tcW w:w="2551" w:type="dxa"/>
            <w:vAlign w:val="center"/>
          </w:tcPr>
          <w:p>
            <w:pPr>
              <w:pStyle w:val="15"/>
            </w:pPr>
          </w:p>
        </w:tc>
        <w:tc>
          <w:tcPr>
            <w:tcW w:w="2551" w:type="dxa"/>
            <w:vAlign w:val="center"/>
          </w:tcPr>
          <w:p>
            <w:pPr>
              <w:pStyle w:val="15"/>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3.12</w:t>
            </w:r>
          </w:p>
        </w:tc>
        <w:tc>
          <w:tcPr>
            <w:tcW w:w="2551" w:type="dxa"/>
            <w:vAlign w:val="center"/>
          </w:tcPr>
          <w:p>
            <w:pPr>
              <w:pStyle w:val="15"/>
            </w:pPr>
          </w:p>
        </w:tc>
        <w:tc>
          <w:tcPr>
            <w:tcW w:w="2551" w:type="dxa"/>
            <w:vAlign w:val="center"/>
          </w:tcPr>
          <w:p>
            <w:pPr>
              <w:pStyle w:val="15"/>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3.91</w:t>
            </w:r>
          </w:p>
        </w:tc>
        <w:tc>
          <w:tcPr>
            <w:tcW w:w="2551" w:type="dxa"/>
            <w:vAlign w:val="center"/>
          </w:tcPr>
          <w:p>
            <w:pPr>
              <w:pStyle w:val="15"/>
            </w:pPr>
          </w:p>
        </w:tc>
        <w:tc>
          <w:tcPr>
            <w:tcW w:w="2551" w:type="dxa"/>
            <w:vAlign w:val="center"/>
          </w:tcPr>
          <w:p>
            <w:pPr>
              <w:pStyle w:val="15"/>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10.08</w:t>
            </w:r>
          </w:p>
        </w:tc>
        <w:tc>
          <w:tcPr>
            <w:tcW w:w="2551" w:type="dxa"/>
            <w:vAlign w:val="center"/>
          </w:tcPr>
          <w:p>
            <w:pPr>
              <w:pStyle w:val="15"/>
            </w:pPr>
          </w:p>
        </w:tc>
        <w:tc>
          <w:tcPr>
            <w:tcW w:w="2551" w:type="dxa"/>
            <w:vAlign w:val="center"/>
          </w:tcPr>
          <w:p>
            <w:pPr>
              <w:pStyle w:val="15"/>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t>2.00</w:t>
            </w:r>
          </w:p>
        </w:tc>
        <w:tc>
          <w:tcPr>
            <w:tcW w:w="1643" w:type="dxa"/>
            <w:vAlign w:val="center"/>
          </w:tcPr>
          <w:p>
            <w:pPr>
              <w:pStyle w:val="19"/>
            </w:pPr>
            <w:r>
              <w:t>2.00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沙河市行政审批局2023年部门预算信息公开情况说明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沙河市行政审批局2023年部门预算信息公开情况说明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预算法》、《地方预决算公开操作规程》和《关于进一步推进预算公开工作的实施意见》规定，现将沙河市行政审批局2023年部门预算公开如下：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1"/>
      </w:pPr>
      <w:r>
        <w:t>(二)负责综合协调和监督管理全市各部门行政审批等事项和公共服务事项的集中统一办理;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1"/>
      </w:pPr>
      <w:r>
        <w:t>(三)协调指导全市公共资源交易市场工作。</w:t>
      </w:r>
    </w:p>
    <w:p>
      <w:pPr>
        <w:pStyle w:val="21"/>
      </w:pPr>
      <w:r>
        <w:t>(四)组织协调全市“放管服”改革工作。</w:t>
      </w:r>
    </w:p>
    <w:p>
      <w:pPr>
        <w:pStyle w:val="21"/>
      </w:pPr>
      <w:r>
        <w:t>(五)指导协调全市行政审批制度改革工作。</w:t>
      </w:r>
    </w:p>
    <w:p>
      <w:pPr>
        <w:pStyle w:val="21"/>
      </w:pPr>
      <w:r>
        <w:t>(六)指导协调全市政务服务管理工作。</w:t>
      </w:r>
    </w:p>
    <w:p>
      <w:pPr>
        <w:pStyle w:val="21"/>
      </w:pPr>
      <w:r>
        <w:t>(七)</w:t>
      </w:r>
      <w:r>
        <w:rPr>
          <w:rFonts w:hint="eastAsia"/>
          <w:lang w:eastAsia="zh-CN"/>
        </w:rPr>
        <w:t>统筹推进</w:t>
      </w:r>
      <w:r>
        <w:t>全市“互联网+政务服务”工作，构建全市一体化政务服务平台。</w:t>
      </w:r>
    </w:p>
    <w:p>
      <w:pPr>
        <w:pStyle w:val="21"/>
      </w:pPr>
      <w:r>
        <w:t>(八)引导和推动全市社会信用体系建设。</w:t>
      </w:r>
    </w:p>
    <w:p>
      <w:pPr>
        <w:pStyle w:val="21"/>
      </w:pPr>
      <w:r>
        <w:t>(九)指导乡镇(办)行政审批、政务服务工作。</w:t>
      </w:r>
    </w:p>
    <w:p>
      <w:pPr>
        <w:pStyle w:val="21"/>
      </w:pPr>
      <w:r>
        <w:t>(十)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21"/>
      </w:pPr>
      <w:r>
        <w:t>(十一)协调指导政府群众服务热线工作，协调交办相关部门及时处理群众诉求，负责指导乡镇(办)群众服务热线建设和管理工作。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沙河市行政审批局本级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按照预算管理有关规定，目前我省部门预算的编制实行综合预算管理，即全部收入和支出都反映在预算中。沙河市行政审批局机关及所属事业单位的收支包含在部门预算中。</w:t>
      </w:r>
    </w:p>
    <w:p>
      <w:pPr>
        <w:pStyle w:val="22"/>
      </w:pPr>
      <w:r>
        <w:rPr>
          <w:rFonts w:hint="eastAsia"/>
        </w:rPr>
        <w:t>按照预算管理有关规定，目前我市部门预算的编制实行综合预算制度，即全部收入和支出都反映的预算中，单位的收支包含在部门预算中。</w:t>
      </w:r>
    </w:p>
    <w:p>
      <w:pPr>
        <w:pStyle w:val="22"/>
      </w:pPr>
      <w:r>
        <w:t>（一）收入说明：反映本部门当年全部收入。</w:t>
      </w:r>
    </w:p>
    <w:p>
      <w:pPr>
        <w:pStyle w:val="22"/>
      </w:pPr>
      <w:r>
        <w:t>2023年预算收入955.89万元，其中：公共财政预算收入955.89万元，基金预算收入0万元，财政专户核拨收入0万元，其他来源收入0万元。</w:t>
      </w:r>
    </w:p>
    <w:p>
      <w:pPr>
        <w:pStyle w:val="22"/>
      </w:pPr>
      <w:r>
        <w:t>（二）支出说明</w:t>
      </w:r>
    </w:p>
    <w:p>
      <w:pPr>
        <w:pStyle w:val="22"/>
      </w:pPr>
      <w:r>
        <w:t>2023年部门支出预算为955.89万元，其中基本支出</w:t>
      </w:r>
      <w:r>
        <w:rPr>
          <w:rFonts w:hint="eastAsia"/>
          <w:lang w:val="en-US" w:eastAsia="zh-CN"/>
        </w:rPr>
        <w:t>804.9</w:t>
      </w:r>
      <w:r>
        <w:t>万元，包括人员经费</w:t>
      </w:r>
      <w:r>
        <w:rPr>
          <w:rFonts w:hint="eastAsia"/>
          <w:lang w:val="en-US" w:eastAsia="zh-CN"/>
        </w:rPr>
        <w:t>777.53</w:t>
      </w:r>
      <w:r>
        <w:t>万元和日常公用经费</w:t>
      </w:r>
      <w:r>
        <w:rPr>
          <w:rFonts w:hint="eastAsia"/>
          <w:lang w:val="en-US" w:eastAsia="zh-CN"/>
        </w:rPr>
        <w:t>27.37</w:t>
      </w:r>
      <w:r>
        <w:t>万元；项目支出</w:t>
      </w:r>
      <w:r>
        <w:rPr>
          <w:rFonts w:hint="eastAsia"/>
          <w:lang w:val="en-US" w:eastAsia="zh-CN"/>
        </w:rPr>
        <w:t>150.99</w:t>
      </w:r>
      <w:r>
        <w:t>万元，主要本级安排的</w:t>
      </w:r>
      <w:r>
        <w:rPr>
          <w:rFonts w:hint="eastAsia"/>
          <w:lang w:eastAsia="zh-CN"/>
        </w:rPr>
        <w:t>行政审批局、公共资源交易中心运转</w:t>
      </w:r>
      <w:r>
        <w:t>经费支出</w:t>
      </w:r>
      <w:r>
        <w:rPr>
          <w:rFonts w:hint="eastAsia"/>
          <w:lang w:val="en-US" w:eastAsia="zh-CN"/>
        </w:rPr>
        <w:t>150.99</w:t>
      </w:r>
      <w:r>
        <w:t>万元。</w:t>
      </w:r>
    </w:p>
    <w:p>
      <w:pPr>
        <w:pStyle w:val="22"/>
      </w:pPr>
      <w:r>
        <w:t>（三）比上年增减情况</w:t>
      </w:r>
    </w:p>
    <w:p>
      <w:pPr>
        <w:pStyle w:val="22"/>
      </w:pPr>
      <w:r>
        <w:t>2023年，部门预算收支安排955.89万元，较2022年增长</w:t>
      </w:r>
      <w:r>
        <w:rPr>
          <w:rFonts w:hint="eastAsia"/>
          <w:lang w:val="en-US" w:eastAsia="zh-CN"/>
        </w:rPr>
        <w:t>28.56</w:t>
      </w:r>
      <w:r>
        <w:t>万元，其中：基本支出增长</w:t>
      </w:r>
      <w:r>
        <w:rPr>
          <w:rFonts w:hint="eastAsia"/>
          <w:lang w:val="en-US" w:eastAsia="zh-CN"/>
        </w:rPr>
        <w:t>28.56</w:t>
      </w:r>
      <w:r>
        <w:t>万元，主要是增加人员经费；项目支出</w:t>
      </w:r>
      <w:r>
        <w:rPr>
          <w:rFonts w:hint="eastAsia"/>
          <w:lang w:eastAsia="zh-CN"/>
        </w:rPr>
        <w:t>与上年持平</w:t>
      </w:r>
      <w: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3"/>
        <w:rPr>
          <w:rFonts w:hint="eastAsia"/>
        </w:rPr>
      </w:pPr>
      <w:r>
        <w:rPr>
          <w:rFonts w:hint="eastAsia"/>
        </w:rPr>
        <w:t>机关运行经费安排</w:t>
      </w:r>
      <w:r>
        <w:t>27.37万元</w:t>
      </w:r>
      <w:bookmarkStart w:id="12" w:name="_Toc_3_3_0000000013"/>
      <w:r>
        <w:rPr>
          <w:rFonts w:hint="eastAsia"/>
          <w:lang w:eastAsia="zh-CN"/>
        </w:rPr>
        <w:t>，</w:t>
      </w:r>
      <w:r>
        <w:rPr>
          <w:rFonts w:hint="eastAsia"/>
        </w:rPr>
        <w:t>主要用于机关正常运转、办公用房维修维护等日常运行支出。</w:t>
      </w:r>
    </w:p>
    <w:p>
      <w:pPr>
        <w:pStyle w:val="23"/>
      </w:pPr>
      <w:r>
        <w:rPr>
          <w:rFonts w:ascii="黑体" w:hAnsi="黑体" w:eastAsia="黑体" w:cs="黑体"/>
          <w:color w:val="000000"/>
          <w:sz w:val="32"/>
        </w:rPr>
        <w:t>四、财政拨款“三公”经费预算情况及增减变化原因</w:t>
      </w:r>
      <w:bookmarkEnd w:id="12"/>
    </w:p>
    <w:p>
      <w:pPr>
        <w:pStyle w:val="24"/>
        <w:rPr>
          <w:rFonts w:hint="eastAsia" w:eastAsia="方正仿宋_GBK"/>
          <w:lang w:eastAsia="zh-CN"/>
        </w:rPr>
      </w:pPr>
      <w:r>
        <w:t>2023年，我部门“三公”经费预算安排2万元，其中公务接待费2万元，因公出国（境）费0万元，公车购置及运行费为0万元。</w:t>
      </w:r>
      <w:r>
        <w:rPr>
          <w:rFonts w:hint="eastAsia"/>
        </w:rPr>
        <w:t>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2023年，市行政审批局、政务服务管理办公室在市委、市政府的正确领导下，全面落实简政放权职能，完善服务举措，致力于打造“审批时间最短，审批事项最少，审批成本最低，审批效率最高，审批服务最优”的“五最”营商环境。扎实推进信用建设、承诺制等多项改革，争取“优服务”“通梗阻”“激活力”的良好效果，承担的省市重要考核指标、省民生工程、市委深改委改革任务、市政府重点工作按时按进度完成。</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6"/>
      </w:pPr>
      <w:r>
        <w:t>2、负责综合协调和监督管理全市各部门行政审批等事项和公共服务事项的集中统一办理;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6"/>
      </w:pPr>
      <w:r>
        <w:t>3、协调指导全市公共资源交易市场工作。</w:t>
      </w:r>
    </w:p>
    <w:p>
      <w:pPr>
        <w:pStyle w:val="26"/>
      </w:pPr>
      <w:r>
        <w:t>4、组织协调全市“放管服”改革工作。</w:t>
      </w:r>
    </w:p>
    <w:p>
      <w:pPr>
        <w:pStyle w:val="26"/>
      </w:pPr>
      <w:r>
        <w:t>5、指导协调全市行政审批制度改革工作。</w:t>
      </w:r>
    </w:p>
    <w:p>
      <w:pPr>
        <w:pStyle w:val="26"/>
      </w:pPr>
      <w:r>
        <w:t>6、指导协调全市政务服务管理工作。</w:t>
      </w:r>
    </w:p>
    <w:p>
      <w:pPr>
        <w:pStyle w:val="26"/>
      </w:pPr>
      <w:r>
        <w:t>7、</w:t>
      </w:r>
      <w:r>
        <w:rPr>
          <w:rFonts w:hint="eastAsia"/>
          <w:lang w:eastAsia="zh-CN"/>
        </w:rPr>
        <w:t>统筹推进</w:t>
      </w:r>
      <w:r>
        <w:t>全市“互联网+政务服务”工作，构建全市一体化政务服务平台。</w:t>
      </w:r>
    </w:p>
    <w:p>
      <w:pPr>
        <w:pStyle w:val="26"/>
      </w:pPr>
      <w:r>
        <w:t>8、引导和推动全市社会信用体系建设。</w:t>
      </w:r>
    </w:p>
    <w:p>
      <w:pPr>
        <w:pStyle w:val="26"/>
      </w:pPr>
      <w:r>
        <w:t>9、指导乡镇(办)行政审批、政务服务工作。</w:t>
      </w:r>
    </w:p>
    <w:p>
      <w:pPr>
        <w:pStyle w:val="26"/>
      </w:pPr>
      <w:r>
        <w:t>10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26"/>
      </w:pPr>
      <w:r>
        <w:t>11、协调指导政府群众服务热线工作，协调交办相关部门及时处理群众诉求，负责指导乡镇(办)群众服务热线建设和管理工作。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深入推进行政审批制度改革。一是进一步简化企业注册、注销程序，激发市场主体活力，提高企业开办的规范化、制度化、信息化水平。二是持续深化“放管服”改革，做好省、邢台市下放事项衔接工作，打造精简高效政务生态。三是建立中介超市，加强中介服务信用监管，从源头规范行政审批前置服务环节的规范化管理，使行政审批事项实现“降费、</w:t>
      </w:r>
      <w:r>
        <w:rPr>
          <w:rFonts w:hint="eastAsia"/>
          <w:lang w:eastAsia="zh-CN"/>
        </w:rPr>
        <w:t>提速增效</w:t>
      </w:r>
      <w:r>
        <w:t>”目的。</w:t>
      </w:r>
    </w:p>
    <w:p>
      <w:pPr>
        <w:pStyle w:val="27"/>
      </w:pPr>
      <w:r>
        <w:t>2、持续优化审批服务，</w:t>
      </w:r>
      <w:r>
        <w:rPr>
          <w:rFonts w:hint="eastAsia"/>
          <w:lang w:eastAsia="zh-CN"/>
        </w:rPr>
        <w:t>打造</w:t>
      </w:r>
      <w:r>
        <w:t>“精、简、快”审批服务体系。一是持续抓好村（社区）综合服务站提升，推动由“全覆盖”向“精服务”转变；二是复制第一批“百事通”事项落地经验，推进更多事项套餐式办理，实现“一件事，一次办”。三是深入推进政务服务“全流程网上可办”，全市政务服务事项网上可办率达到100%（涉密事项或不宜网办事项除外）。</w:t>
      </w:r>
    </w:p>
    <w:p>
      <w:pPr>
        <w:pStyle w:val="27"/>
      </w:pPr>
      <w:r>
        <w:t>3、进一步深化公共资源交易制度改革。一是认真履行招标投标指导协调工作职责，督促相关部门做好招标投标事中事后监管。二是不断拓展进场交易范围，推进未进场交易项目进场交易，持续推进土地、矿业权、排污权等公共资源交易项目全流程电子化交易。三是推进远程异地评标评审常态化运行。四是持续推进投标保证金告知承诺制改革，切实减轻企业负担。五是不断优化服务，为市场主体、社会公众和行政监督部门提供标准化的交易保障、信息服务和监督支撑。</w:t>
      </w:r>
    </w:p>
    <w:p>
      <w:pPr>
        <w:pStyle w:val="27"/>
      </w:pPr>
      <w:r>
        <w:t>4、加快推进工程建设项目审批制度改革及企业投资项目承诺制改革措施落实。一是推进全流程在线审批，加快全流程在线审批系统建设配置，年内实现工程建设项目涉及的审批、备案、评估评审、中介服务、市政公用服务等事项全部线上办理。二是深化企业投资项目承诺制改革，实现“一表清、一单清”。</w:t>
      </w:r>
    </w:p>
    <w:p>
      <w:pPr>
        <w:pStyle w:val="27"/>
      </w:pPr>
      <w:r>
        <w:t>5、全力推进社会信用体系建设，使诚信成为沙河靓丽名片。一是加大信用信息归集力度，与数据共享部门加强对接，建立数据共享通道；二是提升信用服务能力，扩展“</w:t>
      </w:r>
      <w:r>
        <w:rPr>
          <w:rFonts w:hint="eastAsia"/>
          <w:lang w:eastAsia="zh-CN"/>
        </w:rPr>
        <w:t>信用</w:t>
      </w:r>
      <w:r>
        <w:t>+”应用领域，建立“信用医疗、教育、养老”重点民生行业领域评价办法；三是开展大型信用宣传活动，引导群众树立诚信观念，珍爱信用记录，倡导企业诚信经营理念；四是打造诚信“商圈、街区”试点，开展农村信用体系建设。</w:t>
      </w:r>
    </w:p>
    <w:p>
      <w:pPr>
        <w:pStyle w:val="27"/>
      </w:pPr>
      <w:r>
        <w:t>6、完善制度建设。制定完善预算绩效管理制度、资金管理办法、工作保障制度等，为全年预算绩效目标的实现奠定制度基础。</w:t>
      </w:r>
    </w:p>
    <w:p>
      <w:pPr>
        <w:pStyle w:val="27"/>
      </w:pPr>
      <w:r>
        <w:t>7、加强支出管理。通过优化支出结构、编细编实预算、加快履行政府采购手续、尽快启动项目、及时支付资金、6月底前细化代编预算、按规定及时下达资金等多种措施，确保支出进度达标。</w:t>
      </w:r>
    </w:p>
    <w:p>
      <w:pPr>
        <w:pStyle w:val="27"/>
      </w:pPr>
      <w:r>
        <w:t>8、加强绩效运行监控。按要求开展绩效运行监控，发现问题及时采取措施，确保绩效目标如期保质实现。</w:t>
      </w:r>
    </w:p>
    <w:p>
      <w:pPr>
        <w:pStyle w:val="27"/>
      </w:pPr>
      <w:r>
        <w:t>9、做好绩效自评。按要求开展上年度部门预算绩效自评和重点评价工作，对评价中发现的问题及时整改，调整优化支出结构，提高财政资金使用效益。</w:t>
      </w:r>
    </w:p>
    <w:p>
      <w:pPr>
        <w:pStyle w:val="27"/>
      </w:pPr>
      <w:r>
        <w:t>10、规范财务资产管理。完善财务管理制度，严格审批程序，加强固定资产登记、使用和报废处置管理，做到支出合理，物尽其用。</w:t>
      </w:r>
    </w:p>
    <w:p>
      <w:pPr>
        <w:pStyle w:val="27"/>
      </w:pPr>
      <w:r>
        <w:t>11、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12、加强宣传培训调研等。加强人员培训，提高本部门职工业务素质；加强调研，提出优化财政资金配置、提高资金使用效益的意见；加大宣传力度，强化预算绩效管理意识，促进预算绩效管理水平进一步提升。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1、行政审批局、</w:t>
      </w:r>
      <w:bookmarkStart w:id="18" w:name="_GoBack"/>
      <w:bookmarkEnd w:id="18"/>
      <w:r>
        <w:rPr>
          <w:rFonts w:hint="eastAsia" w:ascii="方正仿宋_GBK" w:hAnsi="方正仿宋_GBK" w:eastAsia="方正仿宋_GBK" w:cs="方正仿宋_GBK"/>
          <w:b/>
          <w:color w:val="000000"/>
          <w:sz w:val="28"/>
          <w:lang w:eastAsia="zh-CN"/>
        </w:rPr>
        <w:t>公共资源交易中心</w:t>
      </w:r>
      <w:r>
        <w:rPr>
          <w:rFonts w:ascii="方正仿宋_GBK" w:hAnsi="方正仿宋_GBK" w:eastAsia="方正仿宋_GBK" w:cs="方正仿宋_GBK"/>
          <w:b/>
          <w:color w:val="000000"/>
          <w:sz w:val="28"/>
        </w:rPr>
        <w:t>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1.为了更好的服务经济、方便群众，同时为了确保行政审批工作的正常运行。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办件数量</w:t>
            </w:r>
          </w:p>
        </w:tc>
        <w:tc>
          <w:tcPr>
            <w:tcW w:w="2835" w:type="dxa"/>
            <w:vAlign w:val="center"/>
          </w:tcPr>
          <w:p>
            <w:pPr>
              <w:pStyle w:val="16"/>
            </w:pPr>
            <w:r>
              <w:t>行政审批局、政务服务中心受理各类办件的人数量</w:t>
            </w:r>
          </w:p>
        </w:tc>
        <w:tc>
          <w:tcPr>
            <w:tcW w:w="2551" w:type="dxa"/>
            <w:vAlign w:val="center"/>
          </w:tcPr>
          <w:p>
            <w:pPr>
              <w:pStyle w:val="16"/>
            </w:pPr>
            <w:r>
              <w:t>≥3万件</w:t>
            </w:r>
          </w:p>
        </w:tc>
        <w:tc>
          <w:tcPr>
            <w:tcW w:w="2268" w:type="dxa"/>
            <w:vAlign w:val="center"/>
          </w:tcPr>
          <w:p>
            <w:pPr>
              <w:pStyle w:val="16"/>
            </w:pPr>
            <w:r>
              <w:t>办件量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满意度</w:t>
            </w:r>
          </w:p>
        </w:tc>
        <w:tc>
          <w:tcPr>
            <w:tcW w:w="2835" w:type="dxa"/>
            <w:vAlign w:val="center"/>
          </w:tcPr>
          <w:p>
            <w:pPr>
              <w:pStyle w:val="16"/>
            </w:pPr>
            <w:r>
              <w:t>被服务群众的满意度</w:t>
            </w:r>
          </w:p>
        </w:tc>
        <w:tc>
          <w:tcPr>
            <w:tcW w:w="2551" w:type="dxa"/>
            <w:vAlign w:val="center"/>
          </w:tcPr>
          <w:p>
            <w:pPr>
              <w:pStyle w:val="16"/>
            </w:pPr>
            <w:r>
              <w:t>≥90%</w:t>
            </w:r>
          </w:p>
        </w:tc>
        <w:tc>
          <w:tcPr>
            <w:tcW w:w="2268" w:type="dxa"/>
            <w:vAlign w:val="center"/>
          </w:tcPr>
          <w:p>
            <w:pPr>
              <w:pStyle w:val="16"/>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按时办结率</w:t>
            </w:r>
          </w:p>
        </w:tc>
        <w:tc>
          <w:tcPr>
            <w:tcW w:w="2835" w:type="dxa"/>
            <w:vAlign w:val="center"/>
          </w:tcPr>
          <w:p>
            <w:pPr>
              <w:pStyle w:val="16"/>
            </w:pPr>
            <w:r>
              <w:t>受理办件按时办结率</w:t>
            </w:r>
          </w:p>
        </w:tc>
        <w:tc>
          <w:tcPr>
            <w:tcW w:w="2551" w:type="dxa"/>
            <w:vAlign w:val="center"/>
          </w:tcPr>
          <w:p>
            <w:pPr>
              <w:pStyle w:val="16"/>
            </w:pPr>
            <w:r>
              <w:t>≥90%</w:t>
            </w:r>
          </w:p>
        </w:tc>
        <w:tc>
          <w:tcPr>
            <w:tcW w:w="2268" w:type="dxa"/>
            <w:vAlign w:val="center"/>
          </w:tcPr>
          <w:p>
            <w:pPr>
              <w:pStyle w:val="16"/>
            </w:pPr>
            <w:r>
              <w:t>按时办结率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满意度</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2023年，沙河市行政审批局安排政府采购预算0.00万元。具体内容见下表。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154沙河市行政审批局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沙河市行政审批局（含所属单位）上年末固定资产金额为4201.57万元（详见下表）。本年度拟</w:t>
      </w:r>
      <w:r>
        <w:rPr>
          <w:rFonts w:hint="eastAsia" w:eastAsia="方正仿宋_GBK" w:cs="Times New Roman"/>
          <w:b w:val="0"/>
          <w:color w:val="000000"/>
          <w:sz w:val="28"/>
          <w:lang w:eastAsia="zh-CN"/>
        </w:rPr>
        <w:t>采购</w:t>
      </w:r>
      <w:r>
        <w:rPr>
          <w:rFonts w:ascii="Times New Roman" w:hAnsi="Times New Roman" w:eastAsia="方正仿宋_GBK" w:cs="Times New Roman"/>
          <w:b w:val="0"/>
          <w:color w:val="000000"/>
          <w:sz w:val="28"/>
        </w:rPr>
        <w:t>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154沙河市行政审批局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4201.57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12060</w:t>
            </w:r>
          </w:p>
        </w:tc>
        <w:tc>
          <w:tcPr>
            <w:tcW w:w="2835" w:type="dxa"/>
            <w:vAlign w:val="center"/>
          </w:tcPr>
          <w:p>
            <w:pPr>
              <w:pStyle w:val="15"/>
            </w:pPr>
            <w:r>
              <w:t>3095.79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1091.10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1209" w:firstLineChars="432"/>
        <w:jc w:val="left"/>
        <w:outlineLvl w:val="9"/>
        <w:rPr>
          <w:rFonts w:hint="eastAsia" w:ascii="Times New Roman" w:hAnsi="Times New Roman" w:eastAsia="方正仿宋_GBK" w:cs="Times New Roman"/>
          <w:b w:val="0"/>
          <w:color w:val="000000"/>
          <w:sz w:val="28"/>
          <w:lang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OTg1YjEzMmQyMWRkNzVkYThhMDEwYmRlM2FlNWQwYTYifQ=="/>
    <w:docVar w:name="KSO_WPS_MARK_KEY" w:val="153a0796-923f-4406-95b3-8655b34ca9e9"/>
  </w:docVars>
  <w:rsids>
    <w:rsidRoot w:val="00000000"/>
    <w:rsid w:val="01182381"/>
    <w:rsid w:val="04253689"/>
    <w:rsid w:val="045A77D7"/>
    <w:rsid w:val="05CB1346"/>
    <w:rsid w:val="08AB28A7"/>
    <w:rsid w:val="15127C5A"/>
    <w:rsid w:val="1DF5197B"/>
    <w:rsid w:val="23123443"/>
    <w:rsid w:val="23381D45"/>
    <w:rsid w:val="270B215E"/>
    <w:rsid w:val="33AE6DE3"/>
    <w:rsid w:val="37B4635C"/>
    <w:rsid w:val="38DB23B4"/>
    <w:rsid w:val="3915534D"/>
    <w:rsid w:val="3F981301"/>
    <w:rsid w:val="44366C11"/>
    <w:rsid w:val="4E5841E1"/>
    <w:rsid w:val="50664363"/>
    <w:rsid w:val="55517AB0"/>
    <w:rsid w:val="586039AE"/>
    <w:rsid w:val="5C8F7244"/>
    <w:rsid w:val="5F721300"/>
    <w:rsid w:val="64EE6A20"/>
    <w:rsid w:val="6DBD5004"/>
    <w:rsid w:val="73C3551C"/>
    <w:rsid w:val="77D53E99"/>
    <w:rsid w:val="786E644C"/>
    <w:rsid w:val="7BA40569"/>
    <w:rsid w:val="7F671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2023-03-02T11:14:39Z</dcterms:created>
  <dcterms:modified xsi:type="dcterms:W3CDTF">2023-03-02T03:14:39Z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2023-03-02T11:14:35Z</dcterms:created>
  <dcterms:modified xsi:type="dcterms:W3CDTF">2023-03-02T03:14:35Z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2023-03-02T11:14:35Z</dcterms:created>
  <dcterms:modified xsi:type="dcterms:W3CDTF">2023-03-02T03:14:35Z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2023-03-02T11:14:36Z</dcterms:created>
  <dcterms:modified xsi:type="dcterms:W3CDTF">2023-03-02T03:14:36Z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2023-03-02T11:14:39Z</dcterms:created>
  <dcterms:modified xsi:type="dcterms:W3CDTF">2023-03-02T03:14:38Z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2023-03-02T11:14:34Z</dcterms:created>
  <dcterms:modified xsi:type="dcterms:W3CDTF">2023-03-02T03:14:34Z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2023-03-02T11:14:39Z</dcterms:created>
  <dcterms:modified xsi:type="dcterms:W3CDTF">2023-03-02T03:14:39Z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87167a-738c-4233-b333-5b1a1758eb6c}">
  <ds:schemaRefs/>
</ds:datastoreItem>
</file>

<file path=customXml/itemProps11.xml><?xml version="1.0" encoding="utf-8"?>
<ds:datastoreItem xmlns:ds="http://schemas.openxmlformats.org/officeDocument/2006/customXml" ds:itemID="{0f3b213a-a3fd-474c-9996-0d9ce4af366f}">
  <ds:schemaRefs/>
</ds:datastoreItem>
</file>

<file path=customXml/itemProps12.xml><?xml version="1.0" encoding="utf-8"?>
<ds:datastoreItem xmlns:ds="http://schemas.openxmlformats.org/officeDocument/2006/customXml" ds:itemID="{d779fc11-c457-4993-bad4-95f4878a4ea5}">
  <ds:schemaRefs/>
</ds:datastoreItem>
</file>

<file path=customXml/itemProps13.xml><?xml version="1.0" encoding="utf-8"?>
<ds:datastoreItem xmlns:ds="http://schemas.openxmlformats.org/officeDocument/2006/customXml" ds:itemID="{2cadf2e4-5b8f-433a-bcee-1fba8aaf54db}">
  <ds:schemaRefs/>
</ds:datastoreItem>
</file>

<file path=customXml/itemProps14.xml><?xml version="1.0" encoding="utf-8"?>
<ds:datastoreItem xmlns:ds="http://schemas.openxmlformats.org/officeDocument/2006/customXml" ds:itemID="{40bf12c2-fba0-476d-99f0-fa3f0b2e9f8c}">
  <ds:schemaRefs/>
</ds:datastoreItem>
</file>

<file path=customXml/itemProps15.xml><?xml version="1.0" encoding="utf-8"?>
<ds:datastoreItem xmlns:ds="http://schemas.openxmlformats.org/officeDocument/2006/customXml" ds:itemID="{ff4afcc7-2444-4a1d-bdf5-cd67cedd2ab3}">
  <ds:schemaRefs/>
</ds:datastoreItem>
</file>

<file path=customXml/itemProps2.xml><?xml version="1.0" encoding="utf-8"?>
<ds:datastoreItem xmlns:ds="http://schemas.openxmlformats.org/officeDocument/2006/customXml" ds:itemID="{add8a09e-d4d9-44a7-9a82-c64a1bf93ae9}">
  <ds:schemaRefs/>
</ds:datastoreItem>
</file>

<file path=customXml/itemProps3.xml><?xml version="1.0" encoding="utf-8"?>
<ds:datastoreItem xmlns:ds="http://schemas.openxmlformats.org/officeDocument/2006/customXml" ds:itemID="{d745ea7b-79e9-44be-a651-26cdd3a00213}">
  <ds:schemaRefs/>
</ds:datastoreItem>
</file>

<file path=customXml/itemProps4.xml><?xml version="1.0" encoding="utf-8"?>
<ds:datastoreItem xmlns:ds="http://schemas.openxmlformats.org/officeDocument/2006/customXml" ds:itemID="{36af08d0-f967-47c3-9b15-7c64a8f97ad6}">
  <ds:schemaRefs/>
</ds:datastoreItem>
</file>

<file path=customXml/itemProps5.xml><?xml version="1.0" encoding="utf-8"?>
<ds:datastoreItem xmlns:ds="http://schemas.openxmlformats.org/officeDocument/2006/customXml" ds:itemID="{d830239b-b600-4a91-9f9f-d84900375a00}">
  <ds:schemaRefs/>
</ds:datastoreItem>
</file>

<file path=customXml/itemProps6.xml><?xml version="1.0" encoding="utf-8"?>
<ds:datastoreItem xmlns:ds="http://schemas.openxmlformats.org/officeDocument/2006/customXml" ds:itemID="{f2e0fdba-b87f-4d8d-b0df-035d10ed0ba9}">
  <ds:schemaRefs/>
</ds:datastoreItem>
</file>

<file path=customXml/itemProps7.xml><?xml version="1.0" encoding="utf-8"?>
<ds:datastoreItem xmlns:ds="http://schemas.openxmlformats.org/officeDocument/2006/customXml" ds:itemID="{bd603917-532a-4240-8070-2c65102400e3}">
  <ds:schemaRefs/>
</ds:datastoreItem>
</file>

<file path=customXml/itemProps8.xml><?xml version="1.0" encoding="utf-8"?>
<ds:datastoreItem xmlns:ds="http://schemas.openxmlformats.org/officeDocument/2006/customXml" ds:itemID="{39e0644c-244b-4ea8-9669-ce35b2d3a5df}">
  <ds:schemaRefs/>
</ds:datastoreItem>
</file>

<file path=customXml/itemProps9.xml><?xml version="1.0" encoding="utf-8"?>
<ds:datastoreItem xmlns:ds="http://schemas.openxmlformats.org/officeDocument/2006/customXml" ds:itemID="{53f8ea0e-17f3-4179-9b56-f7d743d6292e}">
  <ds:schemaRefs/>
</ds:datastoreItem>
</file>

<file path=docProps/app.xml><?xml version="1.0" encoding="utf-8"?>
<Properties xmlns="http://schemas.openxmlformats.org/officeDocument/2006/extended-properties" xmlns:vt="http://schemas.openxmlformats.org/officeDocument/2006/docPropsVTypes">
  <Pages>40</Pages>
  <Words>7811</Words>
  <Characters>9074</Characters>
  <TotalTime>15</TotalTime>
  <ScaleCrop>false</ScaleCrop>
  <LinksUpToDate>false</LinksUpToDate>
  <CharactersWithSpaces>9244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2023-03-02T11:14:00Z</dcterms:created>
  <dc:creator>值班室</dc:creator>
  <cp:lastModifiedBy>rainy</cp:lastModifiedBy>
  <dcterms:modified xsi:type="dcterms:W3CDTF">2024-03-13T01:13:39Z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071AD20EAA2F4FAEB12523251E111053</vt:lpwstr>
  </property>
</Properties>
</file>