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6</w:t>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7</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9</w:t>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w:t>
      </w:r>
      <w:r>
        <w:rPr>
          <w:rFonts w:hint="eastAsia"/>
          <w:lang w:val="en-US" w:eastAsia="zh-CN"/>
        </w:rPr>
        <w:t>0</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w:t>
      </w:r>
      <w:r>
        <w:rPr>
          <w:rFonts w:hint="eastAsia"/>
          <w:lang w:val="en-US" w:eastAsia="zh-CN"/>
        </w:rPr>
        <w:t>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6</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154沙河市行政审批局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927.33</w:t>
            </w:r>
          </w:p>
        </w:tc>
        <w:tc>
          <w:tcPr>
            <w:tcW w:w="4535" w:type="dxa"/>
            <w:vAlign w:val="center"/>
          </w:tcPr>
          <w:p>
            <w:pPr>
              <w:pStyle w:val="16"/>
            </w:pPr>
            <w:r>
              <w:t>一、一般公共服务支出</w:t>
            </w:r>
          </w:p>
        </w:tc>
        <w:tc>
          <w:tcPr>
            <w:tcW w:w="2126" w:type="dxa"/>
            <w:vAlign w:val="center"/>
          </w:tcPr>
          <w:p>
            <w:pPr>
              <w:pStyle w:val="15"/>
            </w:pPr>
            <w:r>
              <w:t>837.03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927.33</w:t>
            </w:r>
          </w:p>
        </w:tc>
        <w:tc>
          <w:tcPr>
            <w:tcW w:w="4535" w:type="dxa"/>
            <w:vAlign w:val="center"/>
          </w:tcPr>
          <w:p>
            <w:pPr>
              <w:pStyle w:val="18"/>
            </w:pPr>
            <w:r>
              <w:t>本年支出合计</w:t>
            </w:r>
          </w:p>
        </w:tc>
        <w:tc>
          <w:tcPr>
            <w:tcW w:w="2126" w:type="dxa"/>
            <w:vAlign w:val="center"/>
          </w:tcPr>
          <w:p>
            <w:pPr>
              <w:pStyle w:val="19"/>
            </w:pPr>
            <w:r>
              <w:t>927.33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927.33</w:t>
            </w:r>
          </w:p>
        </w:tc>
        <w:tc>
          <w:tcPr>
            <w:tcW w:w="4535" w:type="dxa"/>
            <w:vAlign w:val="center"/>
          </w:tcPr>
          <w:p>
            <w:pPr>
              <w:pStyle w:val="18"/>
            </w:pPr>
            <w:r>
              <w:t>支出总计</w:t>
            </w:r>
          </w:p>
        </w:tc>
        <w:tc>
          <w:tcPr>
            <w:tcW w:w="2126" w:type="dxa"/>
            <w:vAlign w:val="center"/>
          </w:tcPr>
          <w:p>
            <w:pPr>
              <w:pStyle w:val="19"/>
            </w:pPr>
            <w:r>
              <w:t>927.33</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154沙河市行政审批局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927.33</w:t>
            </w:r>
          </w:p>
        </w:tc>
        <w:tc>
          <w:tcPr>
            <w:tcW w:w="1134" w:type="dxa"/>
            <w:vAlign w:val="center"/>
          </w:tcPr>
          <w:p>
            <w:pPr>
              <w:pStyle w:val="19"/>
            </w:pPr>
            <w:r>
              <w:t>927.33</w:t>
            </w:r>
          </w:p>
        </w:tc>
        <w:tc>
          <w:tcPr>
            <w:tcW w:w="1134" w:type="dxa"/>
            <w:vAlign w:val="center"/>
          </w:tcPr>
          <w:p>
            <w:pPr>
              <w:pStyle w:val="19"/>
            </w:pPr>
            <w:r>
              <w:t>927.33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837.03</w:t>
            </w:r>
          </w:p>
        </w:tc>
        <w:tc>
          <w:tcPr>
            <w:tcW w:w="1134" w:type="dxa"/>
            <w:vAlign w:val="center"/>
          </w:tcPr>
          <w:p>
            <w:pPr>
              <w:pStyle w:val="15"/>
            </w:pPr>
            <w:r>
              <w:t>837.03</w:t>
            </w:r>
          </w:p>
        </w:tc>
        <w:tc>
          <w:tcPr>
            <w:tcW w:w="1134" w:type="dxa"/>
            <w:vAlign w:val="center"/>
          </w:tcPr>
          <w:p>
            <w:pPr>
              <w:pStyle w:val="15"/>
            </w:pPr>
            <w:r>
              <w:t>837.03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837.03</w:t>
            </w:r>
          </w:p>
        </w:tc>
        <w:tc>
          <w:tcPr>
            <w:tcW w:w="1134" w:type="dxa"/>
            <w:vAlign w:val="center"/>
          </w:tcPr>
          <w:p>
            <w:pPr>
              <w:pStyle w:val="15"/>
            </w:pPr>
            <w:r>
              <w:t>837.03</w:t>
            </w:r>
          </w:p>
        </w:tc>
        <w:tc>
          <w:tcPr>
            <w:tcW w:w="1134" w:type="dxa"/>
            <w:vAlign w:val="center"/>
          </w:tcPr>
          <w:p>
            <w:pPr>
              <w:pStyle w:val="15"/>
            </w:pPr>
            <w:r>
              <w:t>837.03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686.04</w:t>
            </w:r>
          </w:p>
        </w:tc>
        <w:tc>
          <w:tcPr>
            <w:tcW w:w="1134" w:type="dxa"/>
            <w:vAlign w:val="center"/>
          </w:tcPr>
          <w:p>
            <w:pPr>
              <w:pStyle w:val="15"/>
            </w:pPr>
            <w:r>
              <w:t>686.04</w:t>
            </w:r>
          </w:p>
        </w:tc>
        <w:tc>
          <w:tcPr>
            <w:tcW w:w="1134" w:type="dxa"/>
            <w:vAlign w:val="center"/>
          </w:tcPr>
          <w:p>
            <w:pPr>
              <w:pStyle w:val="15"/>
            </w:pPr>
            <w:r>
              <w:t>686.04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2010306</w:t>
            </w:r>
          </w:p>
        </w:tc>
        <w:tc>
          <w:tcPr>
            <w:tcW w:w="1559" w:type="dxa"/>
            <w:vAlign w:val="center"/>
          </w:tcPr>
          <w:p>
            <w:pPr>
              <w:pStyle w:val="16"/>
            </w:pPr>
            <w:r>
              <w:t>政务公开审批</w:t>
            </w:r>
          </w:p>
        </w:tc>
        <w:tc>
          <w:tcPr>
            <w:tcW w:w="1134" w:type="dxa"/>
            <w:vAlign w:val="center"/>
          </w:tcPr>
          <w:p>
            <w:pPr>
              <w:pStyle w:val="15"/>
            </w:pPr>
            <w:r>
              <w:t>150.99</w:t>
            </w:r>
          </w:p>
        </w:tc>
        <w:tc>
          <w:tcPr>
            <w:tcW w:w="1134" w:type="dxa"/>
            <w:vAlign w:val="center"/>
          </w:tcPr>
          <w:p>
            <w:pPr>
              <w:pStyle w:val="15"/>
            </w:pPr>
            <w:r>
              <w:t>150.99</w:t>
            </w:r>
          </w:p>
        </w:tc>
        <w:tc>
          <w:tcPr>
            <w:tcW w:w="1134" w:type="dxa"/>
            <w:vAlign w:val="center"/>
          </w:tcPr>
          <w:p>
            <w:pPr>
              <w:pStyle w:val="15"/>
            </w:pPr>
            <w:r>
              <w:t>150.99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r>
              <w:t>50.54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927.33</w:t>
            </w:r>
          </w:p>
        </w:tc>
        <w:tc>
          <w:tcPr>
            <w:tcW w:w="1095" w:type="dxa"/>
            <w:vAlign w:val="center"/>
          </w:tcPr>
          <w:p>
            <w:pPr>
              <w:pStyle w:val="19"/>
              <w:rPr>
                <w:rFonts w:hint="default" w:eastAsia="方正书宋_GBK"/>
                <w:lang w:val="en-US" w:eastAsia="zh-CN"/>
              </w:rPr>
            </w:pPr>
            <w:r>
              <w:rPr>
                <w:rFonts w:hint="eastAsia"/>
                <w:lang w:val="en-US" w:eastAsia="zh-CN"/>
              </w:rPr>
              <w:t>776.34</w:t>
            </w:r>
          </w:p>
        </w:tc>
        <w:tc>
          <w:tcPr>
            <w:tcW w:w="1095" w:type="dxa"/>
            <w:vAlign w:val="center"/>
          </w:tcPr>
          <w:p>
            <w:pPr>
              <w:pStyle w:val="19"/>
              <w:rPr>
                <w:rFonts w:hint="default" w:eastAsia="方正书宋_GBK"/>
                <w:lang w:val="en-US" w:eastAsia="zh-CN"/>
              </w:rPr>
            </w:pPr>
            <w:r>
              <w:rPr>
                <w:rFonts w:hint="eastAsia"/>
                <w:lang w:val="en-US" w:eastAsia="zh-CN"/>
              </w:rPr>
              <w:t>150.99</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837.03</w:t>
            </w:r>
          </w:p>
        </w:tc>
        <w:tc>
          <w:tcPr>
            <w:tcW w:w="1095" w:type="dxa"/>
            <w:vAlign w:val="center"/>
          </w:tcPr>
          <w:p>
            <w:pPr>
              <w:pStyle w:val="15"/>
              <w:rPr>
                <w:rFonts w:hint="default" w:eastAsia="方正书宋_GBK"/>
                <w:lang w:val="en-US" w:eastAsia="zh-CN"/>
              </w:rPr>
            </w:pPr>
            <w:r>
              <w:rPr>
                <w:rFonts w:hint="eastAsia"/>
                <w:lang w:val="en-US" w:eastAsia="zh-CN"/>
              </w:rPr>
              <w:t>686.04</w:t>
            </w:r>
          </w:p>
        </w:tc>
        <w:tc>
          <w:tcPr>
            <w:tcW w:w="1095" w:type="dxa"/>
            <w:vAlign w:val="center"/>
          </w:tcPr>
          <w:p>
            <w:pPr>
              <w:pStyle w:val="15"/>
              <w:rPr>
                <w:rFonts w:hint="default" w:eastAsia="方正书宋_GBK"/>
                <w:lang w:val="en-US" w:eastAsia="zh-CN"/>
              </w:rPr>
            </w:pPr>
            <w:r>
              <w:rPr>
                <w:rFonts w:hint="eastAsia"/>
                <w:lang w:val="en-US" w:eastAsia="zh-CN"/>
              </w:rPr>
              <w:t>150.99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1095" w:type="dxa"/>
            <w:vAlign w:val="center"/>
          </w:tcPr>
          <w:p>
            <w:pPr>
              <w:pStyle w:val="16"/>
            </w:pPr>
            <w:r>
              <w:t>政府办公厅（室）及相关机构事务</w:t>
            </w:r>
          </w:p>
        </w:tc>
        <w:tc>
          <w:tcPr>
            <w:tcW w:w="1095" w:type="dxa"/>
            <w:vAlign w:val="center"/>
          </w:tcPr>
          <w:p>
            <w:pPr>
              <w:pStyle w:val="15"/>
            </w:pPr>
            <w:r>
              <w:t>837.03</w:t>
            </w:r>
          </w:p>
        </w:tc>
        <w:tc>
          <w:tcPr>
            <w:tcW w:w="1095" w:type="dxa"/>
            <w:vAlign w:val="center"/>
          </w:tcPr>
          <w:p>
            <w:pPr>
              <w:pStyle w:val="15"/>
              <w:rPr>
                <w:rFonts w:hint="default" w:eastAsia="方正书宋_GBK"/>
                <w:lang w:val="en-US" w:eastAsia="zh-CN"/>
              </w:rPr>
            </w:pPr>
            <w:r>
              <w:rPr>
                <w:rFonts w:hint="eastAsia"/>
                <w:lang w:val="en-US" w:eastAsia="zh-CN"/>
              </w:rPr>
              <w:t>686.04</w:t>
            </w:r>
          </w:p>
        </w:tc>
        <w:tc>
          <w:tcPr>
            <w:tcW w:w="1095" w:type="dxa"/>
            <w:vAlign w:val="center"/>
          </w:tcPr>
          <w:p>
            <w:pPr>
              <w:pStyle w:val="15"/>
              <w:rPr>
                <w:rFonts w:hint="default" w:eastAsia="方正书宋_GBK"/>
                <w:lang w:val="en-US" w:eastAsia="zh-CN"/>
              </w:rPr>
            </w:pPr>
            <w:r>
              <w:rPr>
                <w:rFonts w:hint="eastAsia"/>
                <w:lang w:val="en-US" w:eastAsia="zh-CN"/>
              </w:rPr>
              <w:t>150.99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2010301</w:t>
            </w:r>
          </w:p>
        </w:tc>
        <w:tc>
          <w:tcPr>
            <w:tcW w:w="1095" w:type="dxa"/>
            <w:vAlign w:val="center"/>
          </w:tcPr>
          <w:p>
            <w:pPr>
              <w:pStyle w:val="16"/>
            </w:pPr>
            <w:r>
              <w:t>行政运行</w:t>
            </w:r>
          </w:p>
        </w:tc>
        <w:tc>
          <w:tcPr>
            <w:tcW w:w="1095" w:type="dxa"/>
            <w:vAlign w:val="center"/>
          </w:tcPr>
          <w:p>
            <w:pPr>
              <w:pStyle w:val="15"/>
            </w:pPr>
            <w:r>
              <w:t>686.04</w:t>
            </w:r>
          </w:p>
        </w:tc>
        <w:tc>
          <w:tcPr>
            <w:tcW w:w="1095" w:type="dxa"/>
            <w:vAlign w:val="center"/>
          </w:tcPr>
          <w:p>
            <w:pPr>
              <w:pStyle w:val="15"/>
              <w:rPr>
                <w:rFonts w:hint="default" w:eastAsia="方正书宋_GBK"/>
                <w:lang w:val="en-US" w:eastAsia="zh-CN"/>
              </w:rPr>
            </w:pPr>
            <w:r>
              <w:rPr>
                <w:rFonts w:hint="eastAsia"/>
                <w:lang w:val="en-US" w:eastAsia="zh-CN"/>
              </w:rPr>
              <w:t>686.04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2010306</w:t>
            </w:r>
          </w:p>
        </w:tc>
        <w:tc>
          <w:tcPr>
            <w:tcW w:w="1095" w:type="dxa"/>
            <w:vAlign w:val="center"/>
          </w:tcPr>
          <w:p>
            <w:pPr>
              <w:pStyle w:val="16"/>
            </w:pPr>
            <w:r>
              <w:t>政务公开审批</w:t>
            </w:r>
          </w:p>
        </w:tc>
        <w:tc>
          <w:tcPr>
            <w:tcW w:w="1095" w:type="dxa"/>
            <w:vAlign w:val="center"/>
          </w:tcPr>
          <w:p>
            <w:pPr>
              <w:pStyle w:val="15"/>
            </w:pPr>
            <w:r>
              <w:t>150.99</w:t>
            </w:r>
          </w:p>
        </w:tc>
        <w:tc>
          <w:tcPr>
            <w:tcW w:w="1095" w:type="dxa"/>
            <w:vAlign w:val="center"/>
          </w:tcPr>
          <w:p>
            <w:pPr>
              <w:pStyle w:val="15"/>
            </w:pPr>
          </w:p>
        </w:tc>
        <w:tc>
          <w:tcPr>
            <w:tcW w:w="1095" w:type="dxa"/>
            <w:vAlign w:val="center"/>
          </w:tcPr>
          <w:p>
            <w:pPr>
              <w:pStyle w:val="15"/>
            </w:pPr>
            <w:r>
              <w:t>150.99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50.54</w:t>
            </w:r>
          </w:p>
        </w:tc>
        <w:tc>
          <w:tcPr>
            <w:tcW w:w="1095" w:type="dxa"/>
            <w:vAlign w:val="center"/>
          </w:tcPr>
          <w:p>
            <w:pPr>
              <w:pStyle w:val="15"/>
            </w:pPr>
            <w:r>
              <w:t>50.54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50.54</w:t>
            </w:r>
          </w:p>
        </w:tc>
        <w:tc>
          <w:tcPr>
            <w:tcW w:w="1095" w:type="dxa"/>
            <w:vAlign w:val="center"/>
          </w:tcPr>
          <w:p>
            <w:pPr>
              <w:pStyle w:val="15"/>
            </w:pPr>
            <w:r>
              <w:t>50.54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50.54</w:t>
            </w:r>
          </w:p>
        </w:tc>
        <w:tc>
          <w:tcPr>
            <w:tcW w:w="1095" w:type="dxa"/>
            <w:vAlign w:val="center"/>
          </w:tcPr>
          <w:p>
            <w:pPr>
              <w:pStyle w:val="15"/>
            </w:pPr>
            <w:r>
              <w:t>50.54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pPr>
            <w:r>
              <w:t>39.76</w:t>
            </w:r>
          </w:p>
        </w:tc>
        <w:tc>
          <w:tcPr>
            <w:tcW w:w="1095" w:type="dxa"/>
            <w:vAlign w:val="center"/>
          </w:tcPr>
          <w:p>
            <w:pPr>
              <w:pStyle w:val="15"/>
            </w:pPr>
            <w:r>
              <w:t>39.76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pPr>
            <w:r>
              <w:t>39.76</w:t>
            </w:r>
          </w:p>
        </w:tc>
        <w:tc>
          <w:tcPr>
            <w:tcW w:w="1095" w:type="dxa"/>
            <w:vAlign w:val="center"/>
          </w:tcPr>
          <w:p>
            <w:pPr>
              <w:pStyle w:val="15"/>
            </w:pPr>
            <w:r>
              <w:t>39.76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pPr>
            <w:r>
              <w:t>39.76</w:t>
            </w:r>
          </w:p>
        </w:tc>
        <w:tc>
          <w:tcPr>
            <w:tcW w:w="1095" w:type="dxa"/>
            <w:vAlign w:val="center"/>
          </w:tcPr>
          <w:p>
            <w:pPr>
              <w:pStyle w:val="15"/>
            </w:pPr>
            <w:r>
              <w:t>39.76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927.33</w:t>
            </w:r>
          </w:p>
        </w:tc>
        <w:tc>
          <w:tcPr>
            <w:tcW w:w="3402" w:type="dxa"/>
            <w:vAlign w:val="center"/>
          </w:tcPr>
          <w:p>
            <w:pPr>
              <w:pStyle w:val="16"/>
            </w:pPr>
            <w:r>
              <w:t>一、一般公共服务支出</w:t>
            </w:r>
          </w:p>
        </w:tc>
        <w:tc>
          <w:tcPr>
            <w:tcW w:w="1474" w:type="dxa"/>
            <w:vAlign w:val="center"/>
          </w:tcPr>
          <w:p>
            <w:pPr>
              <w:pStyle w:val="15"/>
            </w:pPr>
            <w:r>
              <w:t>837.03</w:t>
            </w:r>
          </w:p>
        </w:tc>
        <w:tc>
          <w:tcPr>
            <w:tcW w:w="1474" w:type="dxa"/>
            <w:vAlign w:val="center"/>
          </w:tcPr>
          <w:p>
            <w:pPr>
              <w:pStyle w:val="15"/>
            </w:pPr>
            <w:r>
              <w:t>837.03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50.54</w:t>
            </w:r>
          </w:p>
        </w:tc>
        <w:tc>
          <w:tcPr>
            <w:tcW w:w="1474" w:type="dxa"/>
            <w:vAlign w:val="center"/>
          </w:tcPr>
          <w:p>
            <w:pPr>
              <w:pStyle w:val="15"/>
            </w:pPr>
            <w:r>
              <w:t>50.54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39.76</w:t>
            </w:r>
          </w:p>
        </w:tc>
        <w:tc>
          <w:tcPr>
            <w:tcW w:w="1474" w:type="dxa"/>
            <w:vAlign w:val="center"/>
          </w:tcPr>
          <w:p>
            <w:pPr>
              <w:pStyle w:val="15"/>
            </w:pPr>
            <w:r>
              <w:t>39.76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927.33</w:t>
            </w:r>
          </w:p>
        </w:tc>
        <w:tc>
          <w:tcPr>
            <w:tcW w:w="3402" w:type="dxa"/>
            <w:vAlign w:val="center"/>
          </w:tcPr>
          <w:p>
            <w:pPr>
              <w:pStyle w:val="18"/>
            </w:pPr>
            <w:r>
              <w:t>本年支出合计</w:t>
            </w:r>
          </w:p>
        </w:tc>
        <w:tc>
          <w:tcPr>
            <w:tcW w:w="1474" w:type="dxa"/>
            <w:vAlign w:val="center"/>
          </w:tcPr>
          <w:p>
            <w:pPr>
              <w:pStyle w:val="19"/>
            </w:pPr>
            <w:r>
              <w:t>927.33</w:t>
            </w:r>
          </w:p>
        </w:tc>
        <w:tc>
          <w:tcPr>
            <w:tcW w:w="1474" w:type="dxa"/>
            <w:vAlign w:val="center"/>
          </w:tcPr>
          <w:p>
            <w:pPr>
              <w:pStyle w:val="19"/>
            </w:pPr>
            <w:r>
              <w:t>927.33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927.33</w:t>
            </w:r>
          </w:p>
        </w:tc>
        <w:tc>
          <w:tcPr>
            <w:tcW w:w="3402" w:type="dxa"/>
            <w:vAlign w:val="center"/>
          </w:tcPr>
          <w:p>
            <w:pPr>
              <w:pStyle w:val="18"/>
            </w:pPr>
            <w:r>
              <w:t>支出总计</w:t>
            </w:r>
          </w:p>
        </w:tc>
        <w:tc>
          <w:tcPr>
            <w:tcW w:w="1474" w:type="dxa"/>
            <w:vAlign w:val="center"/>
          </w:tcPr>
          <w:p>
            <w:pPr>
              <w:pStyle w:val="19"/>
            </w:pPr>
            <w:r>
              <w:t>927.33</w:t>
            </w:r>
          </w:p>
        </w:tc>
        <w:tc>
          <w:tcPr>
            <w:tcW w:w="1474" w:type="dxa"/>
            <w:vAlign w:val="center"/>
          </w:tcPr>
          <w:p>
            <w:pPr>
              <w:pStyle w:val="19"/>
            </w:pPr>
            <w:r>
              <w:t>927.33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927.33</w:t>
            </w:r>
          </w:p>
        </w:tc>
        <w:tc>
          <w:tcPr>
            <w:tcW w:w="2551" w:type="dxa"/>
            <w:vAlign w:val="center"/>
          </w:tcPr>
          <w:p>
            <w:pPr>
              <w:pStyle w:val="19"/>
              <w:rPr>
                <w:rFonts w:hint="default" w:eastAsia="方正书宋_GBK"/>
                <w:lang w:val="en-US" w:eastAsia="zh-CN"/>
              </w:rPr>
            </w:pPr>
            <w:r>
              <w:rPr>
                <w:rFonts w:hint="eastAsia"/>
                <w:lang w:val="en-US" w:eastAsia="zh-CN"/>
              </w:rPr>
              <w:t>776.34</w:t>
            </w:r>
          </w:p>
        </w:tc>
        <w:tc>
          <w:tcPr>
            <w:tcW w:w="2551" w:type="dxa"/>
            <w:vAlign w:val="center"/>
          </w:tcPr>
          <w:p>
            <w:pPr>
              <w:pStyle w:val="19"/>
              <w:rPr>
                <w:rFonts w:hint="default" w:eastAsia="方正书宋_GBK"/>
                <w:lang w:val="en-US" w:eastAsia="zh-CN"/>
              </w:rPr>
            </w:pPr>
            <w:r>
              <w:rPr>
                <w:rFonts w:hint="eastAsia"/>
                <w:lang w:val="en-US" w:eastAsia="zh-CN"/>
              </w:rP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837.03</w:t>
            </w:r>
          </w:p>
        </w:tc>
        <w:tc>
          <w:tcPr>
            <w:tcW w:w="2551" w:type="dxa"/>
            <w:vAlign w:val="center"/>
          </w:tcPr>
          <w:p>
            <w:pPr>
              <w:pStyle w:val="15"/>
              <w:rPr>
                <w:rFonts w:hint="default" w:eastAsia="方正书宋_GBK"/>
                <w:lang w:val="en-US" w:eastAsia="zh-CN"/>
              </w:rPr>
            </w:pPr>
            <w:r>
              <w:rPr>
                <w:rFonts w:hint="eastAsia"/>
                <w:lang w:val="en-US" w:eastAsia="zh-CN"/>
              </w:rPr>
              <w:t>686.04</w:t>
            </w:r>
          </w:p>
        </w:tc>
        <w:tc>
          <w:tcPr>
            <w:tcW w:w="2551" w:type="dxa"/>
            <w:vAlign w:val="center"/>
          </w:tcPr>
          <w:p>
            <w:pPr>
              <w:pStyle w:val="15"/>
              <w:rPr>
                <w:rFonts w:hint="default" w:eastAsia="方正书宋_GBK"/>
                <w:lang w:val="en-US" w:eastAsia="zh-CN"/>
              </w:rPr>
            </w:pPr>
            <w:r>
              <w:rPr>
                <w:rFonts w:hint="eastAsia"/>
                <w:lang w:val="en-US" w:eastAsia="zh-CN"/>
              </w:rP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837.03</w:t>
            </w:r>
          </w:p>
        </w:tc>
        <w:tc>
          <w:tcPr>
            <w:tcW w:w="2551" w:type="dxa"/>
            <w:vAlign w:val="center"/>
          </w:tcPr>
          <w:p>
            <w:pPr>
              <w:pStyle w:val="15"/>
              <w:rPr>
                <w:rFonts w:hint="default" w:eastAsia="方正书宋_GBK"/>
                <w:lang w:val="en-US" w:eastAsia="zh-CN"/>
              </w:rPr>
            </w:pPr>
            <w:r>
              <w:rPr>
                <w:rFonts w:hint="eastAsia"/>
                <w:lang w:val="en-US" w:eastAsia="zh-CN"/>
              </w:rPr>
              <w:t>686.04</w:t>
            </w:r>
          </w:p>
        </w:tc>
        <w:tc>
          <w:tcPr>
            <w:tcW w:w="2551" w:type="dxa"/>
            <w:vAlign w:val="center"/>
          </w:tcPr>
          <w:p>
            <w:pPr>
              <w:pStyle w:val="15"/>
              <w:rPr>
                <w:rFonts w:hint="default" w:eastAsia="方正书宋_GBK"/>
                <w:lang w:val="en-US" w:eastAsia="zh-CN"/>
              </w:rPr>
            </w:pPr>
            <w:r>
              <w:rPr>
                <w:rFonts w:hint="eastAsia"/>
                <w:lang w:val="en-US" w:eastAsia="zh-CN"/>
              </w:rP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686.04</w:t>
            </w:r>
          </w:p>
        </w:tc>
        <w:tc>
          <w:tcPr>
            <w:tcW w:w="2551" w:type="dxa"/>
            <w:vAlign w:val="center"/>
          </w:tcPr>
          <w:p>
            <w:pPr>
              <w:pStyle w:val="15"/>
              <w:rPr>
                <w:rFonts w:hint="default" w:eastAsia="方正书宋_GBK"/>
                <w:lang w:val="en-US" w:eastAsia="zh-CN"/>
              </w:rPr>
            </w:pPr>
            <w:r>
              <w:rPr>
                <w:rFonts w:hint="eastAsia"/>
                <w:lang w:val="en-US" w:eastAsia="zh-CN"/>
              </w:rPr>
              <w:t>686.04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2010306</w:t>
            </w:r>
          </w:p>
        </w:tc>
        <w:tc>
          <w:tcPr>
            <w:tcW w:w="4535" w:type="dxa"/>
            <w:vAlign w:val="center"/>
          </w:tcPr>
          <w:p>
            <w:pPr>
              <w:pStyle w:val="16"/>
            </w:pPr>
            <w:r>
              <w:t>政务公开审批</w:t>
            </w:r>
          </w:p>
        </w:tc>
        <w:tc>
          <w:tcPr>
            <w:tcW w:w="2551" w:type="dxa"/>
            <w:vAlign w:val="center"/>
          </w:tcPr>
          <w:p>
            <w:pPr>
              <w:pStyle w:val="15"/>
            </w:pPr>
            <w:r>
              <w:t>150.99</w:t>
            </w:r>
          </w:p>
        </w:tc>
        <w:tc>
          <w:tcPr>
            <w:tcW w:w="2551" w:type="dxa"/>
            <w:vAlign w:val="center"/>
          </w:tcPr>
          <w:p>
            <w:pPr>
              <w:pStyle w:val="15"/>
            </w:pPr>
          </w:p>
        </w:tc>
        <w:tc>
          <w:tcPr>
            <w:tcW w:w="2551" w:type="dxa"/>
            <w:vAlign w:val="center"/>
          </w:tcPr>
          <w:p>
            <w:pPr>
              <w:pStyle w:val="15"/>
            </w:pPr>
            <w:r>
              <w:t>150.99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50.54</w:t>
            </w:r>
          </w:p>
        </w:tc>
        <w:tc>
          <w:tcPr>
            <w:tcW w:w="2551" w:type="dxa"/>
            <w:vAlign w:val="center"/>
          </w:tcPr>
          <w:p>
            <w:pPr>
              <w:pStyle w:val="15"/>
            </w:pPr>
            <w:r>
              <w:t>50.54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50.54</w:t>
            </w:r>
          </w:p>
        </w:tc>
        <w:tc>
          <w:tcPr>
            <w:tcW w:w="2551" w:type="dxa"/>
            <w:vAlign w:val="center"/>
          </w:tcPr>
          <w:p>
            <w:pPr>
              <w:pStyle w:val="15"/>
            </w:pPr>
            <w:r>
              <w:t>50.54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50.54</w:t>
            </w:r>
          </w:p>
        </w:tc>
        <w:tc>
          <w:tcPr>
            <w:tcW w:w="2551" w:type="dxa"/>
            <w:vAlign w:val="center"/>
          </w:tcPr>
          <w:p>
            <w:pPr>
              <w:pStyle w:val="15"/>
            </w:pPr>
            <w:r>
              <w:t>50.54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776.34</w:t>
            </w:r>
          </w:p>
        </w:tc>
        <w:tc>
          <w:tcPr>
            <w:tcW w:w="2551" w:type="dxa"/>
            <w:vAlign w:val="center"/>
          </w:tcPr>
          <w:p>
            <w:pPr>
              <w:pStyle w:val="19"/>
              <w:rPr>
                <w:rFonts w:hint="default" w:eastAsia="方正书宋_GBK"/>
                <w:lang w:val="en-US" w:eastAsia="zh-CN"/>
              </w:rPr>
            </w:pPr>
            <w:r>
              <w:rPr>
                <w:rFonts w:hint="eastAsia"/>
                <w:lang w:val="en-US" w:eastAsia="zh-CN"/>
              </w:rPr>
              <w:t>750.66</w:t>
            </w:r>
          </w:p>
        </w:tc>
        <w:tc>
          <w:tcPr>
            <w:tcW w:w="2551" w:type="dxa"/>
            <w:vAlign w:val="center"/>
          </w:tcPr>
          <w:p>
            <w:pPr>
              <w:pStyle w:val="19"/>
            </w:pPr>
            <w:r>
              <w:t>25.68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375.12</w:t>
            </w:r>
          </w:p>
        </w:tc>
        <w:tc>
          <w:tcPr>
            <w:tcW w:w="2551" w:type="dxa"/>
            <w:vAlign w:val="center"/>
          </w:tcPr>
          <w:p>
            <w:pPr>
              <w:pStyle w:val="15"/>
            </w:pPr>
            <w:r>
              <w:t>375.12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136.01</w:t>
            </w:r>
          </w:p>
        </w:tc>
        <w:tc>
          <w:tcPr>
            <w:tcW w:w="2551" w:type="dxa"/>
            <w:vAlign w:val="center"/>
          </w:tcPr>
          <w:p>
            <w:pPr>
              <w:pStyle w:val="15"/>
            </w:pPr>
            <w:r>
              <w:t>136.01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40.77</w:t>
            </w:r>
          </w:p>
        </w:tc>
        <w:tc>
          <w:tcPr>
            <w:tcW w:w="2551" w:type="dxa"/>
            <w:vAlign w:val="center"/>
          </w:tcPr>
          <w:p>
            <w:pPr>
              <w:pStyle w:val="15"/>
            </w:pPr>
            <w:r>
              <w:t>40.77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50.10</w:t>
            </w:r>
          </w:p>
        </w:tc>
        <w:tc>
          <w:tcPr>
            <w:tcW w:w="2551" w:type="dxa"/>
            <w:vAlign w:val="center"/>
          </w:tcPr>
          <w:p>
            <w:pPr>
              <w:pStyle w:val="15"/>
            </w:pPr>
            <w:r>
              <w:t>50.10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57.15</w:t>
            </w:r>
          </w:p>
        </w:tc>
        <w:tc>
          <w:tcPr>
            <w:tcW w:w="2551" w:type="dxa"/>
            <w:vAlign w:val="center"/>
          </w:tcPr>
          <w:p>
            <w:pPr>
              <w:pStyle w:val="15"/>
            </w:pPr>
            <w:r>
              <w:t>57.15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50.54</w:t>
            </w:r>
          </w:p>
        </w:tc>
        <w:tc>
          <w:tcPr>
            <w:tcW w:w="2551" w:type="dxa"/>
            <w:vAlign w:val="center"/>
          </w:tcPr>
          <w:p>
            <w:pPr>
              <w:pStyle w:val="15"/>
            </w:pPr>
            <w:r>
              <w:t>50.54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0.79</w:t>
            </w:r>
          </w:p>
        </w:tc>
        <w:tc>
          <w:tcPr>
            <w:tcW w:w="2551" w:type="dxa"/>
            <w:vAlign w:val="center"/>
          </w:tcPr>
          <w:p>
            <w:pPr>
              <w:pStyle w:val="15"/>
            </w:pPr>
            <w:r>
              <w:t>0.79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25.68</w:t>
            </w:r>
          </w:p>
        </w:tc>
        <w:tc>
          <w:tcPr>
            <w:tcW w:w="2551" w:type="dxa"/>
            <w:vAlign w:val="center"/>
          </w:tcPr>
          <w:p>
            <w:pPr>
              <w:pStyle w:val="15"/>
            </w:pPr>
          </w:p>
        </w:tc>
        <w:tc>
          <w:tcPr>
            <w:tcW w:w="2551" w:type="dxa"/>
            <w:vAlign w:val="center"/>
          </w:tcPr>
          <w:p>
            <w:pPr>
              <w:pStyle w:val="15"/>
            </w:pPr>
            <w:r>
              <w:t>25.68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3.04</w:t>
            </w:r>
          </w:p>
        </w:tc>
        <w:tc>
          <w:tcPr>
            <w:tcW w:w="2551" w:type="dxa"/>
            <w:vAlign w:val="center"/>
          </w:tcPr>
          <w:p>
            <w:pPr>
              <w:pStyle w:val="15"/>
            </w:pPr>
          </w:p>
        </w:tc>
        <w:tc>
          <w:tcPr>
            <w:tcW w:w="2551" w:type="dxa"/>
            <w:vAlign w:val="center"/>
          </w:tcPr>
          <w:p>
            <w:pPr>
              <w:pStyle w:val="15"/>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5.40</w:t>
            </w:r>
          </w:p>
        </w:tc>
        <w:tc>
          <w:tcPr>
            <w:tcW w:w="2551" w:type="dxa"/>
            <w:vAlign w:val="center"/>
          </w:tcPr>
          <w:p>
            <w:pPr>
              <w:pStyle w:val="15"/>
            </w:pPr>
          </w:p>
        </w:tc>
        <w:tc>
          <w:tcPr>
            <w:tcW w:w="2551" w:type="dxa"/>
            <w:vAlign w:val="center"/>
          </w:tcPr>
          <w:p>
            <w:pPr>
              <w:pStyle w:val="15"/>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1.52</w:t>
            </w:r>
          </w:p>
        </w:tc>
        <w:tc>
          <w:tcPr>
            <w:tcW w:w="2551" w:type="dxa"/>
            <w:vAlign w:val="center"/>
          </w:tcPr>
          <w:p>
            <w:pPr>
              <w:pStyle w:val="15"/>
            </w:pPr>
          </w:p>
        </w:tc>
        <w:tc>
          <w:tcPr>
            <w:tcW w:w="2551" w:type="dxa"/>
            <w:vAlign w:val="center"/>
          </w:tcPr>
          <w:p>
            <w:pPr>
              <w:pStyle w:val="15"/>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2.72</w:t>
            </w:r>
          </w:p>
        </w:tc>
        <w:tc>
          <w:tcPr>
            <w:tcW w:w="2551" w:type="dxa"/>
            <w:vAlign w:val="center"/>
          </w:tcPr>
          <w:p>
            <w:pPr>
              <w:pStyle w:val="15"/>
            </w:pPr>
          </w:p>
        </w:tc>
        <w:tc>
          <w:tcPr>
            <w:tcW w:w="2551" w:type="dxa"/>
            <w:vAlign w:val="center"/>
          </w:tcPr>
          <w:p>
            <w:pPr>
              <w:pStyle w:val="15"/>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3.40</w:t>
            </w:r>
          </w:p>
        </w:tc>
        <w:tc>
          <w:tcPr>
            <w:tcW w:w="2551" w:type="dxa"/>
            <w:vAlign w:val="center"/>
          </w:tcPr>
          <w:p>
            <w:pPr>
              <w:pStyle w:val="15"/>
            </w:pPr>
          </w:p>
        </w:tc>
        <w:tc>
          <w:tcPr>
            <w:tcW w:w="2551" w:type="dxa"/>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9.60</w:t>
            </w:r>
          </w:p>
        </w:tc>
        <w:tc>
          <w:tcPr>
            <w:tcW w:w="2551" w:type="dxa"/>
            <w:vAlign w:val="center"/>
          </w:tcPr>
          <w:p>
            <w:pPr>
              <w:pStyle w:val="15"/>
            </w:pPr>
          </w:p>
        </w:tc>
        <w:tc>
          <w:tcPr>
            <w:tcW w:w="2551" w:type="dxa"/>
            <w:vAlign w:val="center"/>
          </w:tcPr>
          <w:p>
            <w:pPr>
              <w:pStyle w:val="15"/>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rFonts w:hint="default" w:eastAsia="方正书宋_GBK"/>
                <w:lang w:val="en-US" w:eastAsia="zh-CN"/>
              </w:rPr>
            </w:pPr>
            <w:r>
              <w:rPr>
                <w:rFonts w:hint="eastAsia"/>
                <w:lang w:val="en-US" w:eastAsia="zh-CN"/>
              </w:rPr>
              <w:t>375.54</w:t>
            </w:r>
          </w:p>
        </w:tc>
        <w:tc>
          <w:tcPr>
            <w:tcW w:w="2551" w:type="dxa"/>
            <w:vAlign w:val="center"/>
          </w:tcPr>
          <w:p>
            <w:pPr>
              <w:pStyle w:val="15"/>
              <w:rPr>
                <w:rFonts w:hint="default" w:eastAsia="方正书宋_GBK"/>
                <w:lang w:val="en-US" w:eastAsia="zh-CN"/>
              </w:rPr>
            </w:pPr>
            <w:r>
              <w:rPr>
                <w:rFonts w:hint="eastAsia"/>
                <w:lang w:val="en-US" w:eastAsia="zh-CN"/>
              </w:rPr>
              <w:t>375.54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0.83</w:t>
            </w:r>
          </w:p>
        </w:tc>
        <w:tc>
          <w:tcPr>
            <w:tcW w:w="2551" w:type="dxa"/>
            <w:vAlign w:val="center"/>
          </w:tcPr>
          <w:p>
            <w:pPr>
              <w:pStyle w:val="15"/>
            </w:pPr>
            <w:r>
              <w:t>0.83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rPr>
                <w:rFonts w:hint="default" w:eastAsia="方正书宋_GBK"/>
                <w:lang w:val="en-US" w:eastAsia="zh-CN"/>
              </w:rPr>
            </w:pPr>
            <w:r>
              <w:rPr>
                <w:rFonts w:hint="eastAsia"/>
                <w:lang w:val="en-US" w:eastAsia="zh-CN"/>
              </w:rPr>
              <w:t>374.71</w:t>
            </w:r>
          </w:p>
        </w:tc>
        <w:tc>
          <w:tcPr>
            <w:tcW w:w="2551" w:type="dxa"/>
            <w:vAlign w:val="center"/>
          </w:tcPr>
          <w:p>
            <w:pPr>
              <w:pStyle w:val="15"/>
              <w:rPr>
                <w:rFonts w:hint="default" w:eastAsia="方正书宋_GBK"/>
                <w:lang w:val="en-US" w:eastAsia="zh-CN"/>
              </w:rPr>
            </w:pPr>
            <w:r>
              <w:rPr>
                <w:rFonts w:hint="eastAsia"/>
                <w:lang w:val="en-US" w:eastAsia="zh-CN"/>
              </w:rPr>
              <w:t>374.71</w:t>
            </w:r>
          </w:p>
        </w:tc>
        <w:tc>
          <w:tcPr>
            <w:tcW w:w="2551" w:type="dxa"/>
            <w:vAlign w:val="center"/>
          </w:tcPr>
          <w:p>
            <w:pPr>
              <w:pStyle w:val="15"/>
              <w:rPr>
                <w:rFonts w:hint="default"/>
                <w:lang w:val="en-US"/>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154沙河市行政审批局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pPr>
            <w:r>
              <w:rPr>
                <w:rFonts w:hint="eastAsia"/>
                <w:lang w:val="en-US" w:eastAsia="zh-CN"/>
              </w:rPr>
              <w:t>2</w:t>
            </w:r>
            <w:r>
              <w:t>.00</w:t>
            </w:r>
          </w:p>
        </w:tc>
        <w:tc>
          <w:tcPr>
            <w:tcW w:w="1643" w:type="dxa"/>
            <w:vAlign w:val="center"/>
          </w:tcPr>
          <w:p>
            <w:pPr>
              <w:pStyle w:val="19"/>
            </w:pPr>
            <w:r>
              <w:rPr>
                <w:rFonts w:hint="eastAsia"/>
                <w:lang w:val="en-US" w:eastAsia="zh-CN"/>
              </w:rPr>
              <w:t>2</w:t>
            </w:r>
            <w:r>
              <w:t>.00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沙河市行政审批局2022年部门预算信息公开情况说明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沙河市行政审批局2022年部门预算信息公开情况说明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预算法》、《地方预决算公开操作规程》和《关于进一步推进预算公开工作的实施意见》规定，现将沙河市行政审批局2022年部门预算公开如下：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主要职责：</w:t>
      </w:r>
    </w:p>
    <w:p>
      <w:pPr>
        <w:pStyle w:val="21"/>
      </w:pPr>
      <w:r>
        <w:t>(一)</w:t>
      </w:r>
      <w:r>
        <w:rPr>
          <w:rFonts w:hint="eastAsia"/>
          <w:lang w:eastAsia="zh-CN"/>
        </w:rPr>
        <w:t>贯彻</w:t>
      </w:r>
      <w:r>
        <w:t>党中央、国务院和省委、省政府和邢台市委、市政府及沙河市委、市政府“放管服”改革、行政审批、政务服务、公共资源交易、社会信用体系建设有关方针政策和法律法规，制定和完善有关规章制度和管理办法并组织实施。</w:t>
      </w:r>
    </w:p>
    <w:p>
      <w:pPr>
        <w:pStyle w:val="21"/>
      </w:pPr>
      <w:r>
        <w:t>(二)负责综合协调和监督管理全市各部门行政审批等事项和公共服务事项的集中统一办理; 组织相关部门开展审批服务事项的联合办理和联审会办;研究推进并联审批服务工作。负责办理市政府确定</w:t>
      </w:r>
      <w:r>
        <w:rPr>
          <w:rFonts w:hint="eastAsia"/>
          <w:lang w:eastAsia="zh-CN"/>
        </w:rPr>
        <w:t>集中行事</w:t>
      </w:r>
      <w:r>
        <w:t>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21"/>
      </w:pPr>
      <w:r>
        <w:t>(三)协调指导全市公共资源交易市场工作。</w:t>
      </w:r>
      <w:r>
        <w:rPr>
          <w:rFonts w:hint="eastAsia"/>
          <w:lang w:eastAsia="zh-CN"/>
        </w:rPr>
        <w:t>拟定</w:t>
      </w:r>
      <w:r>
        <w:t>全市公共资源交易市场管理制度和规则;编制全市公共资源交易目录;负责建设、管理全市统一的公共资源交易电子服务系统;负责推进全市公共资源交易领域信用体系建设;指导全市并监督本级公共资源交易项目进场交易;指导全市并负责本级公共资源交易项目场内交易活动的监督工作，受理对市公共资源交易中心的投诉举报，将违法违规问题移送有关部门处理;协调全市公共资源交易的联动执法。</w:t>
      </w:r>
    </w:p>
    <w:p>
      <w:pPr>
        <w:pStyle w:val="21"/>
      </w:pPr>
      <w:r>
        <w:t>(四)组织协调全市“放管服”改革工作。指导、协调贯彻落实党中央、国务院和省委、省政府和邢台市委、市政府及沙河市委、市政府关于“放管服”改革的政策措施，承担市推进政府职能转变和“放管服”改革协调小组的日常工作。</w:t>
      </w:r>
    </w:p>
    <w:p>
      <w:pPr>
        <w:pStyle w:val="21"/>
      </w:pPr>
      <w:r>
        <w:t>(五)指导协调全市行政审批制度改革工作。建立健全本级行政审批管理体系;推进简政放权，清理和规范各类行政许可等管理事项;协调推进行政审批标准化工作;承担市行政审批制度改革工作领导小组的日常工作。</w:t>
      </w:r>
    </w:p>
    <w:p>
      <w:pPr>
        <w:pStyle w:val="21"/>
      </w:pPr>
      <w:r>
        <w:t>(六)指导协调全市政务服务管理工作。负责优化政务服务供给，降低制度性交易成本，提升政务服务效能;负责推进审批服务便民化；指导协调市有关部门为公民，法人或其他组织提供规范、高效、优质的政务服务。</w:t>
      </w:r>
    </w:p>
    <w:p>
      <w:pPr>
        <w:pStyle w:val="21"/>
      </w:pPr>
      <w:r>
        <w:t>(七)</w:t>
      </w:r>
      <w:r>
        <w:rPr>
          <w:rFonts w:hint="eastAsia"/>
          <w:lang w:eastAsia="zh-CN"/>
        </w:rPr>
        <w:t>统筹推进</w:t>
      </w:r>
      <w:r>
        <w:t>全市“互联网+政务服务”工作，构建全市一体化政务服务平台。推行政务服务网上办理，形成管理机构、实体大厅、网上平台“三位一体”的政务服务管理模式;推进全市电子证照库建设:推进全市政务服务平台规范化、标准化、集约化建设。负责行政审批、公共资源交易平台的建设和管理，会同有关部门推进行政审批、公共资源交易信息化建设。</w:t>
      </w:r>
    </w:p>
    <w:p>
      <w:pPr>
        <w:pStyle w:val="21"/>
      </w:pPr>
      <w:r>
        <w:t>(八)引导和推动全市社会信用体系建设。组织制定发展规划和年度工作要点;推动健全信用法规制度和标准体系;负责全市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市社会信用体系建设领导小组的日常工作。</w:t>
      </w:r>
    </w:p>
    <w:p>
      <w:pPr>
        <w:pStyle w:val="21"/>
      </w:pPr>
      <w:r>
        <w:t>(九)指导乡镇(办)行政审批、政务服务工作。协调市行政审批局与市有关部门，建立完善审批服务联动工作机制。</w:t>
      </w:r>
    </w:p>
    <w:p>
      <w:pPr>
        <w:pStyle w:val="21"/>
      </w:pPr>
      <w:r>
        <w:t>(十)建立健全全市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市政务服务中心各分中心进行监督管理。</w:t>
      </w:r>
    </w:p>
    <w:p>
      <w:pPr>
        <w:pStyle w:val="21"/>
      </w:pPr>
      <w:r>
        <w:t>(十一)协调指导政府群众服务热线工作，协调交办相关部门及时处理群众诉求，负责指导乡镇(办)群众服务热线建设和管理工作。</w:t>
      </w:r>
    </w:p>
    <w:p>
      <w:pPr>
        <w:pStyle w:val="21"/>
      </w:pPr>
      <w:r>
        <w:t>(十二)完成市委、市政府交办的其他任务。</w:t>
      </w:r>
    </w:p>
    <w:p>
      <w:pPr>
        <w:pStyle w:val="21"/>
      </w:pPr>
      <w:r>
        <w:t>有关职责分工:</w:t>
      </w:r>
    </w:p>
    <w:p>
      <w:pPr>
        <w:pStyle w:val="21"/>
      </w:pPr>
      <w:r>
        <w:t>(一)关于市行政审批局与原审批部门的职责分工。市行政审批局负责行政许可等事项的依法受理、审核审查、决定送达，并对职责范围内的行政审批行为承担相应法律责任，审批过程中出现的行政复议、行政诉讼和举报、投诉受理工作由市行政审批局承担。原审批部门主要负责行政许可后的监管，发展规划和行业标准制定，公共服务体系建设等工作，并不断改进监管方式，强化监管责任，避免监管缺位。原审批部门因监管工作，需要市行政审批局提供相关行政许可数据、信息的，市行政审批局应积极配合。</w:t>
      </w:r>
    </w:p>
    <w:p>
      <w:pPr>
        <w:pStyle w:val="21"/>
      </w:pPr>
      <w:r>
        <w:t>(二)市行政审批局相关审批工作接受邢台市有关部门的业务指导，接受市行政审批制度改革工作领导小组的工作指导。并负责对乡级便民服务中心进行业务指导。</w:t>
      </w:r>
    </w:p>
    <w:p>
      <w:pPr>
        <w:pStyle w:val="21"/>
      </w:pPr>
      <w:r>
        <w:t xml:space="preserve">(三)市行政审批局负责对行政许可等事项实行目录管理、动态调整。国务院、省、邢台市政府下放、调整的行政许可及相关事项，原则上由市行政审批局承接、实施;国务院、省、邢台市政府下放、调整的行政处罚，行政强制等事中事后监管事项由行业主管部门承接、实施。取消的行政许可后续监管工作由监管部门负责。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沙河市行政审批局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按照预算管理有关规定，目前我省部门预算的编制实行综合预算管理，即全部收入和支出都反映在预算中。沙河市行政审批局机关及所属事业单位的收支包含在部门预算中。</w:t>
      </w:r>
    </w:p>
    <w:p>
      <w:pPr>
        <w:pStyle w:val="22"/>
      </w:pPr>
      <w:r>
        <w:t>按照预算管理有关规定，目前我市部门预算的编制实行综合预算制度，即全部收入和支出都反映在预算中，单位的收支包含在部门预算中。</w:t>
      </w:r>
    </w:p>
    <w:p>
      <w:pPr>
        <w:pStyle w:val="22"/>
      </w:pPr>
      <w:r>
        <w:t>（一）收入说明</w:t>
      </w:r>
    </w:p>
    <w:p>
      <w:pPr>
        <w:pStyle w:val="22"/>
      </w:pPr>
      <w:r>
        <w:t>反映本部门当年全部收入。2022年预算收入927.33万元，其中：一般公共预算收入927.33万元，基金预算拨款0元。</w:t>
      </w:r>
    </w:p>
    <w:p>
      <w:pPr>
        <w:pStyle w:val="22"/>
      </w:pPr>
      <w:r>
        <w:t>（二）支出说明</w:t>
      </w:r>
    </w:p>
    <w:p>
      <w:pPr>
        <w:pStyle w:val="22"/>
      </w:pPr>
      <w:r>
        <w:t>收支预算总表支出栏、基本支出表、项目支出表按经济分类和支出功能分类科目编制，反映沙河市行政审批局2022年度部门预算中支出预算的总体情况。2022年支出预算927.33万元，其中基本支出</w:t>
      </w:r>
      <w:r>
        <w:rPr>
          <w:rFonts w:hint="eastAsia"/>
          <w:lang w:val="en-US" w:eastAsia="zh-CN"/>
        </w:rPr>
        <w:t>776.34</w:t>
      </w:r>
      <w:r>
        <w:t>万元，包括人员经费</w:t>
      </w:r>
      <w:r>
        <w:rPr>
          <w:rFonts w:hint="eastAsia"/>
          <w:lang w:val="en-US" w:eastAsia="zh-CN"/>
        </w:rPr>
        <w:t>750.66</w:t>
      </w:r>
      <w:r>
        <w:t>万元和日常公用经费25.68万元；项目支出</w:t>
      </w:r>
      <w:r>
        <w:rPr>
          <w:rFonts w:hint="eastAsia"/>
          <w:lang w:val="en-US" w:eastAsia="zh-CN"/>
        </w:rPr>
        <w:t>150.99</w:t>
      </w:r>
      <w:r>
        <w:t>万元，全部为</w:t>
      </w:r>
      <w:r>
        <w:rPr>
          <w:rFonts w:hint="eastAsia"/>
          <w:lang w:eastAsia="zh-CN"/>
        </w:rPr>
        <w:t>行政审批局、公共资源交易中心</w:t>
      </w:r>
      <w:r>
        <w:t>运转经费。全部为本级支出。</w:t>
      </w:r>
    </w:p>
    <w:p>
      <w:pPr>
        <w:pStyle w:val="22"/>
      </w:pPr>
      <w:r>
        <w:t>（三）比上年增减情况</w:t>
      </w:r>
    </w:p>
    <w:p>
      <w:pPr>
        <w:pStyle w:val="22"/>
      </w:pPr>
      <w:r>
        <w:t>2022年预算收支安排927.33万元，较2021年预算增加9.89万元。</w:t>
      </w:r>
      <w:r>
        <w:rPr>
          <w:rFonts w:hint="eastAsia"/>
        </w:rPr>
        <w:t>其中：基本支出增长</w:t>
      </w:r>
      <w:r>
        <w:rPr>
          <w:rFonts w:hint="eastAsia"/>
          <w:lang w:val="en-US" w:eastAsia="zh-CN"/>
        </w:rPr>
        <w:t xml:space="preserve">55.55 </w:t>
      </w:r>
      <w:r>
        <w:rPr>
          <w:rFonts w:hint="eastAsia"/>
        </w:rPr>
        <w:t>万元，主要是人员</w:t>
      </w:r>
      <w:r>
        <w:rPr>
          <w:rFonts w:hint="eastAsia"/>
          <w:lang w:eastAsia="zh-CN"/>
        </w:rPr>
        <w:t>工资、保险费用等上涨，故人员经费和公用经费增加</w:t>
      </w:r>
      <w:r>
        <w:rPr>
          <w:rFonts w:hint="eastAsia"/>
        </w:rPr>
        <w:t>；项目支出</w:t>
      </w:r>
      <w:r>
        <w:rPr>
          <w:rFonts w:hint="eastAsia"/>
          <w:lang w:eastAsia="zh-CN"/>
        </w:rPr>
        <w:t>减少</w:t>
      </w:r>
      <w:r>
        <w:rPr>
          <w:rFonts w:hint="eastAsia"/>
          <w:lang w:val="en-US" w:eastAsia="zh-CN"/>
        </w:rPr>
        <w:t>45.66万元，主要是我部门厉行节约，压缩开支</w:t>
      </w:r>
      <w:r>
        <w:rPr>
          <w:rFonts w:hint="eastAsia"/>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机关运行经费安排25.68万元，主要用于机关正常运转、办公取暖费、公务交通补贴、工会经费及福利费等日常运转支出。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部门“三公”经费预算安排2万元，其中因公出国（境）费0元；公务用车购置及运维费0万元；公务接待费2万元，与2021年预算持平。我部门将认真贯彻落实中央八项规定精神和“厉行节俭、反对浪费”等相关条例，细化措施,强化监督,从严规范和控制“三公”经费。今后我部门将一如既往，积极贯彻落实上级有关规定，强化预算管理，严格控制“三公”经费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2022年，市行政审批局、政务服务管理办公室在市委、市政府的正确领导下，以全市确定的“一、三、六、十二”经济社会发展为总体思路，全力推进“三重四创五优化”活动、“十二项专项行动”等各项重点工作，大抓落实，大干实事，全面落实简政放权职能，完善服务举措，致力于打造“审批时间最短，审批事项最少，审批成本最低，审批效率最高，审批服务最优”的“五最”营商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w:t>
      </w:r>
      <w:r>
        <w:rPr>
          <w:rFonts w:hint="eastAsia"/>
          <w:lang w:eastAsia="zh-CN"/>
        </w:rPr>
        <w:t>贯彻</w:t>
      </w:r>
      <w:r>
        <w:t>党中央、国务院和省委、省政府和邢台市委、市政府及沙河市委、市政府“放管服”改革、行政审批、政务服务、公共资源交易、社会信用体系建设有关方针政策和法律法规，制定和完善有关规章制度和管理办法并组织实施。</w:t>
      </w:r>
    </w:p>
    <w:p>
      <w:pPr>
        <w:pStyle w:val="26"/>
      </w:pPr>
      <w:r>
        <w:t>2、负责综合协调和监督管理全市各部门行政审批等事项和公共服务事项的集中统一办理; 组织相关部门开展审批服务事项的联合办理和联审会办;研究推进并联审批服务工作。负责办理市政府确定</w:t>
      </w:r>
      <w:r>
        <w:rPr>
          <w:rFonts w:hint="eastAsia"/>
          <w:lang w:eastAsia="zh-CN"/>
        </w:rPr>
        <w:t>集中行事</w:t>
      </w:r>
      <w:r>
        <w:t>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26"/>
      </w:pPr>
      <w:r>
        <w:t>3、协调指导全市公共资源交易市场工作。</w:t>
      </w:r>
    </w:p>
    <w:p>
      <w:pPr>
        <w:pStyle w:val="26"/>
      </w:pPr>
      <w:r>
        <w:t>4、组织协调全市“放管服”改革工作。</w:t>
      </w:r>
    </w:p>
    <w:p>
      <w:pPr>
        <w:pStyle w:val="26"/>
      </w:pPr>
      <w:r>
        <w:t>5、指导协调全市行政审批制度改革工作。</w:t>
      </w:r>
    </w:p>
    <w:p>
      <w:pPr>
        <w:pStyle w:val="26"/>
      </w:pPr>
      <w:r>
        <w:t>6、指导协调全市政务服务管理工作。</w:t>
      </w:r>
    </w:p>
    <w:p>
      <w:pPr>
        <w:pStyle w:val="26"/>
      </w:pPr>
      <w:r>
        <w:t>7、</w:t>
      </w:r>
      <w:r>
        <w:rPr>
          <w:rFonts w:hint="eastAsia"/>
          <w:lang w:eastAsia="zh-CN"/>
        </w:rPr>
        <w:t>统筹推进</w:t>
      </w:r>
      <w:r>
        <w:t>全市“互联网+政务服务”工作，构建全市一体化政务服务平台。</w:t>
      </w:r>
    </w:p>
    <w:p>
      <w:pPr>
        <w:pStyle w:val="26"/>
      </w:pPr>
      <w:r>
        <w:t>8、引导和推动全市社会信用体系建设。</w:t>
      </w:r>
    </w:p>
    <w:p>
      <w:pPr>
        <w:pStyle w:val="26"/>
      </w:pPr>
      <w:r>
        <w:t>9、指导乡镇(办)行政审批、政务服务工作。</w:t>
      </w:r>
    </w:p>
    <w:p>
      <w:pPr>
        <w:pStyle w:val="26"/>
      </w:pPr>
      <w:r>
        <w:t>10建立健全全市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市政务服务中心各分中心进行监督管理。</w:t>
      </w:r>
    </w:p>
    <w:p>
      <w:pPr>
        <w:pStyle w:val="26"/>
      </w:pPr>
      <w:r>
        <w:t>11、协调指导政府群众服务热线工作，协调交办相关部门及时处理群众诉求，负责指导乡镇(办)群众服务热线建设和管理工作。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深入推进行政审批制度改革。一是进一步简化企业注册、注销程序，激发市场主体活力，提高企业开办的规范化、制度化、信息化水平。二是持续深化“放管服”改革，做好省、邢台市下放事项衔接工作，打造精简高效政务生态。三是建立中介超市，加强中介服务信用监管，从源头规范行政审批前置服务环节的规范化管理，使行政审批事项实现“降费、</w:t>
      </w:r>
      <w:r>
        <w:rPr>
          <w:rFonts w:hint="eastAsia"/>
          <w:lang w:eastAsia="zh-CN"/>
        </w:rPr>
        <w:t>提速增效</w:t>
      </w:r>
      <w:r>
        <w:t>”目的。</w:t>
      </w:r>
    </w:p>
    <w:p>
      <w:pPr>
        <w:pStyle w:val="27"/>
      </w:pPr>
      <w:r>
        <w:t>2、持续优化审批服务，</w:t>
      </w:r>
      <w:r>
        <w:rPr>
          <w:rFonts w:hint="eastAsia"/>
          <w:lang w:eastAsia="zh-CN"/>
        </w:rPr>
        <w:t>打造</w:t>
      </w:r>
      <w:r>
        <w:t>“精、简、快”审批服务体系。一是持续抓好村（社区）综合服务站提升，推动由“全覆盖”向“精服务”转变；二是复制第一批“百事通”事项落地经验，推进更多事项套餐式办理，实现“一件事，一次办”。三是深入推进政务服务“全流程网上可办”，全市政务服务事项网上可办率达到100%（涉密事项或不宜网办事项除外）。</w:t>
      </w:r>
    </w:p>
    <w:p>
      <w:pPr>
        <w:pStyle w:val="27"/>
      </w:pPr>
      <w:r>
        <w:t>3、进一步深化公共资源交易制度改革。一是认真履行招标投标指导协调工作职责，督促相关部门做好招标投标事中事后监管。二是不断拓展进场交易范围，推进未进场交易项目进场交易，持续推进土地、矿业权、排污权等公共资源交易项目全流程电子化交易。三是推进远程异地评标评审常态化运行。四是持续推进投标保证金告知承诺制改革，切实减轻企业负担。五是不断优化服务，为市场主体、社会公众和行政监督部门提供标准化的交易保障、信息服务和监督支撑。</w:t>
      </w:r>
    </w:p>
    <w:p>
      <w:pPr>
        <w:pStyle w:val="27"/>
      </w:pPr>
      <w:r>
        <w:t>4、加快推进工程建设项目审批制度改革及企业投资项目承诺制改革措施落实。一是推进全流程在线审批，加快全流程在线审批系统建设配置，年内实现工程建设项目涉及的审批、备案、评估评审、中介服务、市政公用服务等事项全部线上办理。二是深化企业投资项目承诺制改革，实现“一表清、一单清”。</w:t>
      </w:r>
    </w:p>
    <w:p>
      <w:pPr>
        <w:pStyle w:val="27"/>
      </w:pPr>
      <w:r>
        <w:t>5、全力推进社会信用体系建设，使诚信成为沙河靓丽名片。一是加大信用信息归集力度，与数据共享部门加强对接，建立数据共享通道；二是提升信用服务能力，扩展“信易+”应用领域，建立“信用医疗、教育、养老”重点民生行业领域评价办法；三是开展大型信用宣传活动，引导群众树立诚信观念，珍爱信用记录，倡导企业诚信经营理念；四是打造诚信“商圈、街区”试点，开展农村信用体系建设。</w:t>
      </w:r>
    </w:p>
    <w:p>
      <w:pPr>
        <w:pStyle w:val="27"/>
      </w:pPr>
      <w:r>
        <w:t>6、完善制度建设。制定完善预算绩效管理制度、资金管理办法、工作保障制度等，为全年预算绩效目标的实现奠定制度基础。</w:t>
      </w:r>
    </w:p>
    <w:p>
      <w:pPr>
        <w:pStyle w:val="27"/>
      </w:pPr>
      <w:r>
        <w:t>7、加强支出管理。通过优化支出结构、编细编实预算、加快履行政府采购手续、尽快启动项目、及时支付资金、6月底前细化代编预算、按规定及时下达资金等多种措施，确保支出进度达标。</w:t>
      </w:r>
    </w:p>
    <w:p>
      <w:pPr>
        <w:pStyle w:val="27"/>
      </w:pPr>
      <w:r>
        <w:t>8、加强绩效运行监控。按要求开展绩效运行监控，发现问题及时采取措施，确保绩效目标如期保质实现。</w:t>
      </w:r>
    </w:p>
    <w:p>
      <w:pPr>
        <w:pStyle w:val="27"/>
      </w:pPr>
      <w:r>
        <w:t>9、做好绩效自评。按要求开展上年度部门预算绩效自评和重点评价工作，对评价中发现的问题及时整改，调整优化支出结构，提高财政资金使用效益。</w:t>
      </w:r>
    </w:p>
    <w:p>
      <w:pPr>
        <w:pStyle w:val="27"/>
      </w:pPr>
      <w:r>
        <w:t>10、规范财务资产管理。完善财务管理制度，严格审批程序，加强固定资产登记、使用和报废处置管理，做到支出合理，物尽其用。</w:t>
      </w:r>
    </w:p>
    <w:p>
      <w:pPr>
        <w:pStyle w:val="27"/>
      </w:pPr>
      <w:r>
        <w:t>11、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t>12、加强宣传培训调研等。加强人员培训，提高本部门职工业务素质；加强调研，提出优化财政资金配置、提高资金使用效益的</w:t>
      </w:r>
      <w:bookmarkStart w:id="18" w:name="_GoBack"/>
      <w:bookmarkEnd w:id="18"/>
      <w:r>
        <w:rPr>
          <w:rFonts w:hint="eastAsia"/>
          <w:lang w:eastAsia="zh-CN"/>
        </w:rPr>
        <w:t>意见</w:t>
      </w:r>
      <w:r>
        <w:t>；加大宣传力度，强化预算绩效管理意识，促进预算绩效管理水平进一步提升。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1、行政审批局、</w:t>
      </w:r>
      <w:r>
        <w:rPr>
          <w:rFonts w:hint="eastAsia" w:ascii="方正仿宋_GBK" w:hAnsi="方正仿宋_GBK" w:eastAsia="方正仿宋_GBK" w:cs="方正仿宋_GBK"/>
          <w:b/>
          <w:color w:val="000000"/>
          <w:sz w:val="28"/>
          <w:lang w:eastAsia="zh-CN"/>
        </w:rPr>
        <w:t>公共资源交易中心</w:t>
      </w:r>
      <w:r>
        <w:rPr>
          <w:rFonts w:ascii="方正仿宋_GBK" w:hAnsi="方正仿宋_GBK" w:eastAsia="方正仿宋_GBK" w:cs="方正仿宋_GBK"/>
          <w:b/>
          <w:color w:val="000000"/>
          <w:sz w:val="28"/>
        </w:rPr>
        <w:t>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办件数量</w:t>
            </w:r>
          </w:p>
        </w:tc>
        <w:tc>
          <w:tcPr>
            <w:tcW w:w="2835" w:type="dxa"/>
            <w:vAlign w:val="center"/>
          </w:tcPr>
          <w:p>
            <w:pPr>
              <w:pStyle w:val="16"/>
            </w:pPr>
            <w:r>
              <w:t>行政审批局、政务服务中心共受理各类办件数量</w:t>
            </w:r>
          </w:p>
        </w:tc>
        <w:tc>
          <w:tcPr>
            <w:tcW w:w="2551" w:type="dxa"/>
            <w:vAlign w:val="center"/>
          </w:tcPr>
          <w:p>
            <w:pPr>
              <w:pStyle w:val="16"/>
            </w:pPr>
            <w:r>
              <w:t>≥60000件</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满意度</w:t>
            </w:r>
          </w:p>
        </w:tc>
        <w:tc>
          <w:tcPr>
            <w:tcW w:w="2835" w:type="dxa"/>
            <w:vAlign w:val="center"/>
          </w:tcPr>
          <w:p>
            <w:pPr>
              <w:pStyle w:val="16"/>
            </w:pPr>
            <w:r>
              <w:t>被服务的群众满意度</w:t>
            </w:r>
          </w:p>
        </w:tc>
        <w:tc>
          <w:tcPr>
            <w:tcW w:w="2551" w:type="dxa"/>
            <w:vAlign w:val="center"/>
          </w:tcPr>
          <w:p>
            <w:pPr>
              <w:pStyle w:val="16"/>
            </w:pPr>
            <w:r>
              <w:t>≥0.9百分比</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按时办结率</w:t>
            </w:r>
          </w:p>
        </w:tc>
        <w:tc>
          <w:tcPr>
            <w:tcW w:w="2835" w:type="dxa"/>
            <w:vAlign w:val="center"/>
          </w:tcPr>
          <w:p>
            <w:pPr>
              <w:pStyle w:val="16"/>
            </w:pPr>
            <w:r>
              <w:t>各类办件按时办结率</w:t>
            </w:r>
          </w:p>
        </w:tc>
        <w:tc>
          <w:tcPr>
            <w:tcW w:w="2551" w:type="dxa"/>
            <w:vAlign w:val="center"/>
          </w:tcPr>
          <w:p>
            <w:pPr>
              <w:pStyle w:val="16"/>
            </w:pPr>
            <w:r>
              <w:t>≥0.9百分比</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不超过项目总预算控制额</w:t>
            </w:r>
          </w:p>
        </w:tc>
        <w:tc>
          <w:tcPr>
            <w:tcW w:w="2551" w:type="dxa"/>
            <w:vAlign w:val="center"/>
          </w:tcPr>
          <w:p>
            <w:pPr>
              <w:pStyle w:val="16"/>
            </w:pPr>
            <w:r>
              <w:t>≤196.65万元</w:t>
            </w:r>
          </w:p>
        </w:tc>
        <w:tc>
          <w:tcPr>
            <w:tcW w:w="2268" w:type="dxa"/>
            <w:vAlign w:val="center"/>
          </w:tcPr>
          <w:p>
            <w:pPr>
              <w:pStyle w:val="16"/>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按时办结率</w:t>
            </w:r>
          </w:p>
        </w:tc>
        <w:tc>
          <w:tcPr>
            <w:tcW w:w="2835" w:type="dxa"/>
            <w:vAlign w:val="center"/>
          </w:tcPr>
          <w:p>
            <w:pPr>
              <w:pStyle w:val="16"/>
            </w:pPr>
            <w:r>
              <w:t>受理办件按时办结率</w:t>
            </w:r>
          </w:p>
        </w:tc>
        <w:tc>
          <w:tcPr>
            <w:tcW w:w="2551" w:type="dxa"/>
            <w:vAlign w:val="center"/>
          </w:tcPr>
          <w:p>
            <w:pPr>
              <w:pStyle w:val="16"/>
            </w:pPr>
            <w:r>
              <w:t>≥0.9百分比</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群众满意度</w:t>
            </w:r>
          </w:p>
        </w:tc>
        <w:tc>
          <w:tcPr>
            <w:tcW w:w="2551" w:type="dxa"/>
            <w:vAlign w:val="center"/>
          </w:tcPr>
          <w:p>
            <w:pPr>
              <w:pStyle w:val="16"/>
            </w:pPr>
            <w:r>
              <w:t>≥0.9百分比</w:t>
            </w:r>
          </w:p>
        </w:tc>
        <w:tc>
          <w:tcPr>
            <w:tcW w:w="2268" w:type="dxa"/>
            <w:vAlign w:val="center"/>
          </w:tcPr>
          <w:p>
            <w:pPr>
              <w:pStyle w:val="16"/>
            </w:pPr>
            <w:r>
              <w:t>历史数据</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2022年，沙河市行政审批局安排政府采购预算0.00万元。具体内容见下表。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154沙河市行政审批局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沙河市行政审批局（含所属单位）上年末固定资产金额为4096.34万元（详见下表）。本年度拟</w:t>
      </w:r>
      <w:r>
        <w:rPr>
          <w:rFonts w:hint="eastAsia" w:eastAsia="方正仿宋_GBK" w:cs="Times New Roman"/>
          <w:b w:val="0"/>
          <w:color w:val="000000"/>
          <w:sz w:val="28"/>
          <w:lang w:eastAsia="zh-CN"/>
        </w:rPr>
        <w:t>采购</w:t>
      </w:r>
      <w:r>
        <w:rPr>
          <w:rFonts w:ascii="Times New Roman" w:hAnsi="Times New Roman" w:eastAsia="方正仿宋_GBK" w:cs="Times New Roman"/>
          <w:b w:val="0"/>
          <w:color w:val="000000"/>
          <w:sz w:val="28"/>
        </w:rPr>
        <w:t>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154沙河市行政审批局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4096.34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12060</w:t>
            </w:r>
          </w:p>
        </w:tc>
        <w:tc>
          <w:tcPr>
            <w:tcW w:w="2835" w:type="dxa"/>
            <w:vAlign w:val="center"/>
          </w:tcPr>
          <w:p>
            <w:pPr>
              <w:pStyle w:val="15"/>
            </w:pPr>
            <w:r>
              <w:t>3095.79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985.87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OTg1YjEzMmQyMWRkNzVkYThhMDEwYmRlM2FlNWQwYTYifQ=="/>
    <w:docVar w:name="KSO_WPS_MARK_KEY" w:val="aab87d65-af8e-4731-90e5-74ef8489503c"/>
  </w:docVars>
  <w:rsids>
    <w:rsidRoot w:val="00000000"/>
    <w:rsid w:val="01A050EF"/>
    <w:rsid w:val="02AC7987"/>
    <w:rsid w:val="069C766D"/>
    <w:rsid w:val="07071C76"/>
    <w:rsid w:val="076B2F6A"/>
    <w:rsid w:val="084C7436"/>
    <w:rsid w:val="09313FEA"/>
    <w:rsid w:val="097546C5"/>
    <w:rsid w:val="13086703"/>
    <w:rsid w:val="13646642"/>
    <w:rsid w:val="14BD6288"/>
    <w:rsid w:val="171C7995"/>
    <w:rsid w:val="17570BA1"/>
    <w:rsid w:val="18801392"/>
    <w:rsid w:val="1B042687"/>
    <w:rsid w:val="1CD81789"/>
    <w:rsid w:val="20F24F58"/>
    <w:rsid w:val="23005E56"/>
    <w:rsid w:val="236679A8"/>
    <w:rsid w:val="259A75DB"/>
    <w:rsid w:val="2EAD550D"/>
    <w:rsid w:val="31C9380E"/>
    <w:rsid w:val="328B5BAF"/>
    <w:rsid w:val="3568441B"/>
    <w:rsid w:val="36CB704A"/>
    <w:rsid w:val="373049E0"/>
    <w:rsid w:val="40372682"/>
    <w:rsid w:val="42710B79"/>
    <w:rsid w:val="50672FFC"/>
    <w:rsid w:val="52020133"/>
    <w:rsid w:val="53511743"/>
    <w:rsid w:val="597B4402"/>
    <w:rsid w:val="5C7F46CB"/>
    <w:rsid w:val="5EC322AB"/>
    <w:rsid w:val="6042008A"/>
    <w:rsid w:val="62EA05DE"/>
    <w:rsid w:val="64D91702"/>
    <w:rsid w:val="67332E10"/>
    <w:rsid w:val="67AD2BC2"/>
    <w:rsid w:val="68FD1E2A"/>
    <w:rsid w:val="6A2E78BF"/>
    <w:rsid w:val="6B6157AA"/>
    <w:rsid w:val="708A3179"/>
    <w:rsid w:val="76832D41"/>
    <w:rsid w:val="79D52367"/>
    <w:rsid w:val="7D5234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2022-07-28T09:21:14Z</dcterms:created>
  <dcterms:modified xsi:type="dcterms:W3CDTF">2022-07-28T01:21:14Z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2022-07-28T09:21:13Z</dcterms:created>
  <dcterms:modified xsi:type="dcterms:W3CDTF">2022-07-28T01:21:13Z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2022-07-28T09:21:13Z</dcterms:created>
  <dcterms:modified xsi:type="dcterms:W3CDTF">2022-07-28T01:21:13Z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2022-07-28T09:21:13Z</dcterms:created>
  <dcterms:modified xsi:type="dcterms:W3CDTF">2022-07-28T01:21:13Z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2022-07-28T09:21:10Z</dcterms:created>
  <dcterms:modified xsi:type="dcterms:W3CDTF">2022-07-28T01:21:10Z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2022-07-28T09:21:11Z</dcterms:created>
  <dcterms:modified xsi:type="dcterms:W3CDTF">2022-07-28T01:21:11Z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94196a4-1a61-49fa-be40-97eddd929654}">
  <ds:schemaRefs/>
</ds:datastoreItem>
</file>

<file path=customXml/itemProps11.xml><?xml version="1.0" encoding="utf-8"?>
<ds:datastoreItem xmlns:ds="http://schemas.openxmlformats.org/officeDocument/2006/customXml" ds:itemID="{41cc259a-b0c0-4a5f-9dd6-7918e0852e58}">
  <ds:schemaRefs/>
</ds:datastoreItem>
</file>

<file path=customXml/itemProps12.xml><?xml version="1.0" encoding="utf-8"?>
<ds:datastoreItem xmlns:ds="http://schemas.openxmlformats.org/officeDocument/2006/customXml" ds:itemID="{3c8429cb-e55a-4c80-9f22-5bbb6a7312e2}">
  <ds:schemaRefs/>
</ds:datastoreItem>
</file>

<file path=customXml/itemProps13.xml><?xml version="1.0" encoding="utf-8"?>
<ds:datastoreItem xmlns:ds="http://schemas.openxmlformats.org/officeDocument/2006/customXml" ds:itemID="{a3269194-909e-468e-b52e-50832d97e911}">
  <ds:schemaRefs/>
</ds:datastoreItem>
</file>

<file path=customXml/itemProps14.xml><?xml version="1.0" encoding="utf-8"?>
<ds:datastoreItem xmlns:ds="http://schemas.openxmlformats.org/officeDocument/2006/customXml" ds:itemID="{5a219e5d-0e2c-4bbb-9f8a-0e996669763f}">
  <ds:schemaRefs/>
</ds:datastoreItem>
</file>

<file path=customXml/itemProps15.xml><?xml version="1.0" encoding="utf-8"?>
<ds:datastoreItem xmlns:ds="http://schemas.openxmlformats.org/officeDocument/2006/customXml" ds:itemID="{4e43134a-6592-441b-b21c-b5ae2eef40cb}">
  <ds:schemaRefs/>
</ds:datastoreItem>
</file>

<file path=customXml/itemProps16.xml><?xml version="1.0" encoding="utf-8"?>
<ds:datastoreItem xmlns:ds="http://schemas.openxmlformats.org/officeDocument/2006/customXml" ds:itemID="{aabbcc30-a666-4774-9eae-880f9c6f2b2f}">
  <ds:schemaRefs/>
</ds:datastoreItem>
</file>

<file path=customXml/itemProps17.xml><?xml version="1.0" encoding="utf-8"?>
<ds:datastoreItem xmlns:ds="http://schemas.openxmlformats.org/officeDocument/2006/customXml" ds:itemID="{83971bcd-12be-40ab-8d1b-4aad13528dd0}">
  <ds:schemaRefs/>
</ds:datastoreItem>
</file>

<file path=customXml/itemProps18.xml><?xml version="1.0" encoding="utf-8"?>
<ds:datastoreItem xmlns:ds="http://schemas.openxmlformats.org/officeDocument/2006/customXml" ds:itemID="{fdf09572-e56c-4470-8279-08f37e8bfee8}">
  <ds:schemaRefs/>
</ds:datastoreItem>
</file>

<file path=customXml/itemProps19.xml><?xml version="1.0" encoding="utf-8"?>
<ds:datastoreItem xmlns:ds="http://schemas.openxmlformats.org/officeDocument/2006/customXml" ds:itemID="{352de63b-9b5c-492c-961d-f11407b1adb8}">
  <ds:schemaRefs/>
</ds:datastoreItem>
</file>

<file path=customXml/itemProps2.xml><?xml version="1.0" encoding="utf-8"?>
<ds:datastoreItem xmlns:ds="http://schemas.openxmlformats.org/officeDocument/2006/customXml" ds:itemID="{2087772f-75e8-43c9-936f-4ba7778a3fda}">
  <ds:schemaRefs/>
</ds:datastoreItem>
</file>

<file path=customXml/itemProps3.xml><?xml version="1.0" encoding="utf-8"?>
<ds:datastoreItem xmlns:ds="http://schemas.openxmlformats.org/officeDocument/2006/customXml" ds:itemID="{1021175b-1a2b-4a54-a3aa-fe74658af3a5}">
  <ds:schemaRefs/>
</ds:datastoreItem>
</file>

<file path=customXml/itemProps4.xml><?xml version="1.0" encoding="utf-8"?>
<ds:datastoreItem xmlns:ds="http://schemas.openxmlformats.org/officeDocument/2006/customXml" ds:itemID="{72c2aa58-bdb9-499d-885b-b42625e5a1e6}">
  <ds:schemaRefs/>
</ds:datastoreItem>
</file>

<file path=customXml/itemProps5.xml><?xml version="1.0" encoding="utf-8"?>
<ds:datastoreItem xmlns:ds="http://schemas.openxmlformats.org/officeDocument/2006/customXml" ds:itemID="{99b6c271-41bc-438a-a2f7-335ad542e546}">
  <ds:schemaRefs/>
</ds:datastoreItem>
</file>

<file path=customXml/itemProps6.xml><?xml version="1.0" encoding="utf-8"?>
<ds:datastoreItem xmlns:ds="http://schemas.openxmlformats.org/officeDocument/2006/customXml" ds:itemID="{8209e463-8c54-4f9e-bb89-77dc60f20209}">
  <ds:schemaRefs/>
</ds:datastoreItem>
</file>

<file path=customXml/itemProps7.xml><?xml version="1.0" encoding="utf-8"?>
<ds:datastoreItem xmlns:ds="http://schemas.openxmlformats.org/officeDocument/2006/customXml" ds:itemID="{56126e9b-8339-4abb-a442-72492e712eea}">
  <ds:schemaRefs/>
</ds:datastoreItem>
</file>

<file path=customXml/itemProps8.xml><?xml version="1.0" encoding="utf-8"?>
<ds:datastoreItem xmlns:ds="http://schemas.openxmlformats.org/officeDocument/2006/customXml" ds:itemID="{6e13712e-df01-49d2-8324-ae43f286b47f}">
  <ds:schemaRefs/>
</ds:datastoreItem>
</file>

<file path=customXml/itemProps9.xml><?xml version="1.0" encoding="utf-8"?>
<ds:datastoreItem xmlns:ds="http://schemas.openxmlformats.org/officeDocument/2006/customXml" ds:itemID="{7d5eeab4-8127-457b-86ac-cd76f07a6730}">
  <ds:schemaRefs/>
</ds:datastoreItem>
</file>

<file path=docProps/app.xml><?xml version="1.0" encoding="utf-8"?>
<Properties xmlns="http://schemas.openxmlformats.org/officeDocument/2006/extended-properties" xmlns:vt="http://schemas.openxmlformats.org/officeDocument/2006/docPropsVTypes">
  <Pages>39</Pages>
  <Words>8953</Words>
  <Characters>10089</Characters>
  <TotalTime>9</TotalTime>
  <ScaleCrop>false</ScaleCrop>
  <LinksUpToDate>false</LinksUpToDate>
  <CharactersWithSpaces>10265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2022-07-28T09:21:00Z</dcterms:created>
  <dc:creator>值班室</dc:creator>
  <cp:lastModifiedBy>rainy</cp:lastModifiedBy>
  <cp:lastPrinted>2022-07-28T02:27:00Z</cp:lastPrinted>
  <dcterms:modified xsi:type="dcterms:W3CDTF">2024-03-13T01:36:08Z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BDE25829C0364AAD8AEF2C1C1E260413</vt:lpwstr>
  </property>
</Properties>
</file>