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沙河市行政审批局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ascii="方正小标宋简体" w:hAnsi="方正小标宋简体" w:eastAsia="方正小标宋简体" w:cs="方正小标宋简体"/>
          <w:sz w:val="44"/>
          <w:szCs w:val="44"/>
        </w:rPr>
        <w:t>8</w:t>
      </w:r>
      <w:r>
        <w:rPr>
          <w:rFonts w:hint="eastAsia" w:ascii="方正小标宋简体" w:hAnsi="方正小标宋简体" w:eastAsia="方正小标宋简体" w:cs="方正小标宋简体"/>
          <w:sz w:val="44"/>
          <w:szCs w:val="44"/>
        </w:rPr>
        <w:t>年部门预算信息公开情况</w:t>
      </w:r>
      <w:r>
        <w:rPr>
          <w:rFonts w:ascii="方正小标宋简体" w:hAnsi="方正小标宋简体" w:eastAsia="方正小标宋简体" w:cs="方正小标宋简体"/>
          <w:sz w:val="44"/>
          <w:szCs w:val="44"/>
        </w:rPr>
        <w:t>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预算法》、《地方预决算公开操作规程》规定，现将沙河市行政审批局201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部门预算公开如下：</w:t>
      </w:r>
    </w:p>
    <w:p>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rPr>
        <w:t>部门职责及机构设置情况</w:t>
      </w:r>
    </w:p>
    <w:p>
      <w:pPr>
        <w:spacing w:line="61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w:t>
      </w:r>
      <w:r>
        <w:rPr>
          <w:rFonts w:ascii="仿宋_GB2312" w:hAnsi="仿宋_GB2312" w:eastAsia="仿宋_GB2312" w:cs="仿宋_GB2312"/>
          <w:b/>
          <w:sz w:val="32"/>
          <w:szCs w:val="32"/>
        </w:rPr>
        <w:t>职责</w:t>
      </w:r>
      <w:r>
        <w:rPr>
          <w:rFonts w:hint="eastAsia" w:ascii="仿宋_GB2312" w:hAnsi="仿宋_GB2312" w:eastAsia="仿宋_GB2312" w:cs="仿宋_GB2312"/>
          <w:b/>
          <w:sz w:val="32"/>
          <w:szCs w:val="32"/>
        </w:rPr>
        <w:t>：</w:t>
      </w:r>
    </w:p>
    <w:p>
      <w:pPr>
        <w:ind w:firstLine="480" w:firstLineChars="150"/>
        <w:rPr>
          <w:rFonts w:ascii="仿宋_GB2312" w:eastAsia="仿宋_GB2312"/>
          <w:sz w:val="32"/>
          <w:szCs w:val="32"/>
        </w:rPr>
      </w:pPr>
      <w:r>
        <w:rPr>
          <w:rFonts w:hint="eastAsia" w:ascii="仿宋_GB2312" w:eastAsia="仿宋_GB2312"/>
          <w:sz w:val="32"/>
          <w:szCs w:val="32"/>
        </w:rPr>
        <w:t>（一）职责调整</w:t>
      </w:r>
    </w:p>
    <w:p>
      <w:pPr>
        <w:ind w:firstLine="640" w:firstLineChars="200"/>
        <w:rPr>
          <w:rFonts w:ascii="仿宋_GB2312" w:eastAsia="仿宋_GB2312"/>
          <w:sz w:val="32"/>
          <w:szCs w:val="32"/>
        </w:rPr>
      </w:pPr>
      <w:r>
        <w:rPr>
          <w:rFonts w:hint="eastAsia" w:ascii="仿宋_GB2312" w:eastAsia="仿宋_GB2312"/>
          <w:sz w:val="32"/>
          <w:szCs w:val="32"/>
        </w:rPr>
        <w:t>1．承接、取消和下放的职责</w:t>
      </w:r>
    </w:p>
    <w:p>
      <w:pPr>
        <w:ind w:firstLine="640" w:firstLineChars="200"/>
        <w:rPr>
          <w:rFonts w:ascii="仿宋_GB2312" w:eastAsia="仿宋_GB2312"/>
          <w:sz w:val="32"/>
          <w:szCs w:val="32"/>
        </w:rPr>
      </w:pPr>
      <w:r>
        <w:rPr>
          <w:rFonts w:hint="eastAsia" w:ascii="仿宋_GB2312" w:eastAsia="仿宋_GB2312"/>
          <w:sz w:val="32"/>
          <w:szCs w:val="32"/>
        </w:rPr>
        <w:t>承接、落实国务院和省、</w:t>
      </w:r>
      <w:r>
        <w:rPr>
          <w:rFonts w:hint="eastAsia" w:ascii="仿宋_GB2312" w:eastAsia="仿宋_GB2312"/>
          <w:sz w:val="32"/>
          <w:szCs w:val="32"/>
          <w:lang w:eastAsia="zh-CN"/>
        </w:rPr>
        <w:t>邢台市人民政府</w:t>
      </w:r>
      <w:r>
        <w:rPr>
          <w:rFonts w:hint="eastAsia" w:ascii="仿宋_GB2312" w:eastAsia="仿宋_GB2312"/>
          <w:sz w:val="32"/>
          <w:szCs w:val="32"/>
        </w:rPr>
        <w:t>下放的行政审批事项,取消、下放国务院和省、邢台市政府、市政府取消、下放的行政审批事项。</w:t>
      </w:r>
    </w:p>
    <w:p>
      <w:pPr>
        <w:ind w:firstLine="640" w:firstLineChars="200"/>
        <w:rPr>
          <w:rFonts w:ascii="仿宋_GB2312" w:eastAsia="仿宋_GB2312"/>
          <w:sz w:val="32"/>
          <w:szCs w:val="32"/>
        </w:rPr>
      </w:pPr>
      <w:r>
        <w:rPr>
          <w:rFonts w:hint="eastAsia" w:ascii="仿宋_GB2312" w:eastAsia="仿宋_GB2312"/>
          <w:sz w:val="32"/>
          <w:szCs w:val="32"/>
        </w:rPr>
        <w:t>2．划入的职责</w:t>
      </w:r>
    </w:p>
    <w:p>
      <w:pPr>
        <w:ind w:firstLine="640" w:firstLineChars="200"/>
        <w:rPr>
          <w:rFonts w:ascii="仿宋_GB2312" w:eastAsia="仿宋_GB2312"/>
          <w:sz w:val="32"/>
          <w:szCs w:val="32"/>
        </w:rPr>
      </w:pPr>
      <w:r>
        <w:rPr>
          <w:rFonts w:hint="eastAsia" w:ascii="仿宋_GB2312" w:eastAsia="仿宋_GB2312"/>
          <w:sz w:val="32"/>
          <w:szCs w:val="32"/>
        </w:rPr>
        <w:t>除原有划入的市政府办公室(人防办、档案局)等20个部门(单位)的行政许可职责外,将市人力资源社会保障局、市司法局、市事业单位登记管理局等部门(单位)的行政许可等职责划入市行政审批局。</w:t>
      </w:r>
    </w:p>
    <w:p>
      <w:pPr>
        <w:ind w:firstLine="480" w:firstLineChars="150"/>
        <w:rPr>
          <w:rFonts w:ascii="仿宋_GB2312" w:eastAsia="仿宋_GB2312"/>
          <w:sz w:val="32"/>
          <w:szCs w:val="32"/>
        </w:rPr>
      </w:pPr>
      <w:r>
        <w:rPr>
          <w:rFonts w:hint="eastAsia" w:ascii="仿宋_GB2312" w:eastAsia="仿宋_GB2312"/>
          <w:sz w:val="32"/>
          <w:szCs w:val="32"/>
        </w:rPr>
        <w:t>（二）主要职责</w:t>
      </w:r>
    </w:p>
    <w:p>
      <w:pPr>
        <w:ind w:firstLine="640" w:firstLineChars="200"/>
        <w:rPr>
          <w:rFonts w:ascii="仿宋_GB2312" w:eastAsia="仿宋_GB2312"/>
          <w:sz w:val="32"/>
          <w:szCs w:val="32"/>
        </w:rPr>
      </w:pPr>
      <w:r>
        <w:rPr>
          <w:rFonts w:hint="eastAsia" w:ascii="仿宋_GB2312" w:eastAsia="仿宋_GB2312"/>
          <w:sz w:val="32"/>
          <w:szCs w:val="32"/>
        </w:rPr>
        <w:t>1．贯彻国家和省、邢台市有关行政审批制度改革、</w:t>
      </w:r>
    </w:p>
    <w:p>
      <w:pPr>
        <w:rPr>
          <w:rFonts w:ascii="仿宋_GB2312" w:eastAsia="仿宋_GB2312"/>
          <w:sz w:val="32"/>
          <w:szCs w:val="32"/>
        </w:rPr>
      </w:pPr>
      <w:r>
        <w:rPr>
          <w:rFonts w:hint="eastAsia" w:ascii="仿宋_GB2312" w:eastAsia="仿宋_GB2312"/>
          <w:sz w:val="32"/>
          <w:szCs w:val="32"/>
        </w:rPr>
        <w:t>政务服务和公共资源交易的方针政策和法律法规,制定和完善有关规章制度和管理办法并组织实施。</w:t>
      </w:r>
    </w:p>
    <w:p>
      <w:pPr>
        <w:spacing w:line="61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负责办理市政府确定集中</w:t>
      </w:r>
      <w:r>
        <w:rPr>
          <w:rFonts w:hint="eastAsia" w:ascii="仿宋_GB2312" w:hAnsi="宋体" w:eastAsia="仿宋_GB2312" w:cs="宋体"/>
          <w:kern w:val="0"/>
          <w:sz w:val="32"/>
          <w:szCs w:val="32"/>
          <w:lang w:eastAsia="zh-CN"/>
        </w:rPr>
        <w:t>行事</w:t>
      </w:r>
      <w:r>
        <w:rPr>
          <w:rFonts w:hint="eastAsia" w:ascii="仿宋_GB2312" w:hAnsi="宋体" w:eastAsia="仿宋_GB2312" w:cs="宋体"/>
          <w:kern w:val="0"/>
          <w:sz w:val="32"/>
          <w:szCs w:val="32"/>
        </w:rP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垂直管理部门入驻事项的集中、现场办理;负责协调与项目建设相关企业及中介服务</w:t>
      </w:r>
      <w:r>
        <w:rPr>
          <w:rFonts w:hint="eastAsia" w:ascii="仿宋_GB2312" w:hAnsi="宋体" w:eastAsia="仿宋_GB2312" w:cs="宋体"/>
          <w:kern w:val="0"/>
          <w:sz w:val="32"/>
          <w:szCs w:val="32"/>
          <w:lang w:eastAsia="zh-CN"/>
        </w:rPr>
        <w:t>机构入驻</w:t>
      </w:r>
      <w:r>
        <w:rPr>
          <w:rFonts w:hint="eastAsia" w:ascii="仿宋_GB2312" w:hAnsi="宋体" w:eastAsia="仿宋_GB2312" w:cs="宋体"/>
          <w:kern w:val="0"/>
          <w:sz w:val="32"/>
          <w:szCs w:val="32"/>
        </w:rPr>
        <w:t>事宜。</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3.</w:t>
      </w:r>
      <w:r>
        <w:rPr>
          <w:rFonts w:hint="eastAsia" w:ascii="仿宋_GB2312" w:hAnsi="宋体" w:eastAsia="仿宋_GB2312" w:cs="宋体"/>
          <w:kern w:val="0"/>
          <w:sz w:val="32"/>
          <w:szCs w:val="32"/>
        </w:rPr>
        <w:t>负责对入驻市行政审批局的审批和服务行为进行监督检查,对各窗口及其工作人员进行教育、培训和管理。</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4.负责贯彻落实有关公共资源交易的法律法规和文件规定,根据市政府授权,对市公共资源交易中心进行监督管理,受理对市公共资源交易中心的投诉举报,协助有关部门查处公共资源交易活动中的违法违纪行为。</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5.</w:t>
      </w:r>
      <w:r>
        <w:rPr>
          <w:rFonts w:hint="eastAsia" w:ascii="仿宋_GB2312" w:hAnsi="宋体" w:eastAsia="仿宋_GB2312" w:cs="宋体"/>
          <w:kern w:val="0"/>
          <w:sz w:val="32"/>
          <w:szCs w:val="32"/>
        </w:rPr>
        <w:t>负责行政审批、政务服务、公共资源交易平台的建设和管理,会同有关部门推进行政审批、政务服务、公共资源交易信息化建设。</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6.</w:t>
      </w:r>
      <w:r>
        <w:rPr>
          <w:rFonts w:hint="eastAsia" w:ascii="仿宋_GB2312" w:hAnsi="宋体" w:eastAsia="仿宋_GB2312" w:cs="宋体"/>
          <w:kern w:val="0"/>
          <w:sz w:val="32"/>
          <w:szCs w:val="32"/>
        </w:rPr>
        <w:t>负责指导和协调乡(镇)办事处行政审批、政务服务</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相关工作。</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7.</w:t>
      </w:r>
      <w:r>
        <w:rPr>
          <w:rFonts w:hint="eastAsia" w:ascii="仿宋_GB2312" w:hAnsi="宋体" w:eastAsia="仿宋_GB2312" w:cs="宋体"/>
          <w:kern w:val="0"/>
          <w:sz w:val="32"/>
          <w:szCs w:val="32"/>
        </w:rPr>
        <w:t>承办市委、市政府交办的其他事项。</w:t>
      </w:r>
    </w:p>
    <w:p>
      <w:pPr>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机构设置</w:t>
      </w:r>
      <w:r>
        <w:rPr>
          <w:rFonts w:ascii="仿宋_GB2312" w:hAnsi="宋体" w:eastAsia="仿宋_GB2312" w:cs="宋体"/>
          <w:b/>
          <w:kern w:val="0"/>
          <w:sz w:val="32"/>
          <w:szCs w:val="32"/>
        </w:rPr>
        <w:t>：</w:t>
      </w:r>
    </w:p>
    <w:tbl>
      <w:tblPr>
        <w:tblStyle w:val="5"/>
        <w:tblW w:w="9096" w:type="dxa"/>
        <w:tblInd w:w="0" w:type="dxa"/>
        <w:tblLayout w:type="fixed"/>
        <w:tblCellMar>
          <w:top w:w="0" w:type="dxa"/>
          <w:left w:w="0" w:type="dxa"/>
          <w:bottom w:w="0" w:type="dxa"/>
          <w:right w:w="0" w:type="dxa"/>
        </w:tblCellMar>
      </w:tblPr>
      <w:tblGrid>
        <w:gridCol w:w="2962"/>
        <w:gridCol w:w="1667"/>
        <w:gridCol w:w="1845"/>
        <w:gridCol w:w="2622"/>
      </w:tblGrid>
      <w:tr>
        <w:tblPrEx>
          <w:tblCellMar>
            <w:top w:w="0" w:type="dxa"/>
            <w:left w:w="0" w:type="dxa"/>
            <w:bottom w:w="0" w:type="dxa"/>
            <w:right w:w="0" w:type="dxa"/>
          </w:tblCellMar>
        </w:tblPrEx>
        <w:trPr>
          <w:trHeight w:val="642" w:hRule="atLeast"/>
        </w:trPr>
        <w:tc>
          <w:tcPr>
            <w:tcW w:w="296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单位名称</w:t>
            </w:r>
          </w:p>
        </w:tc>
        <w:tc>
          <w:tcPr>
            <w:tcW w:w="166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单位性质</w:t>
            </w:r>
          </w:p>
        </w:tc>
        <w:tc>
          <w:tcPr>
            <w:tcW w:w="184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单位规格</w:t>
            </w:r>
          </w:p>
        </w:tc>
        <w:tc>
          <w:tcPr>
            <w:tcW w:w="2622"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经费保障形式</w:t>
            </w:r>
          </w:p>
        </w:tc>
      </w:tr>
      <w:tr>
        <w:tblPrEx>
          <w:tblCellMar>
            <w:top w:w="0" w:type="dxa"/>
            <w:left w:w="0" w:type="dxa"/>
            <w:bottom w:w="0" w:type="dxa"/>
            <w:right w:w="0" w:type="dxa"/>
          </w:tblCellMar>
        </w:tblPrEx>
        <w:trPr>
          <w:trHeight w:val="642" w:hRule="atLeast"/>
        </w:trPr>
        <w:tc>
          <w:tcPr>
            <w:tcW w:w="296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沙河市行政</w:t>
            </w:r>
            <w:r>
              <w:rPr>
                <w:rFonts w:ascii="仿宋_GB2312" w:hAnsi="宋体" w:eastAsia="仿宋_GB2312" w:cs="仿宋_GB2312"/>
                <w:kern w:val="0"/>
                <w:sz w:val="32"/>
                <w:szCs w:val="32"/>
                <w:lang w:bidi="ar"/>
              </w:rPr>
              <w:t>审批局</w:t>
            </w:r>
          </w:p>
        </w:tc>
        <w:tc>
          <w:tcPr>
            <w:tcW w:w="166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行政单位</w:t>
            </w:r>
          </w:p>
        </w:tc>
        <w:tc>
          <w:tcPr>
            <w:tcW w:w="184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正科级</w:t>
            </w:r>
          </w:p>
        </w:tc>
        <w:tc>
          <w:tcPr>
            <w:tcW w:w="26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财政拨款</w:t>
            </w:r>
          </w:p>
        </w:tc>
      </w:tr>
    </w:tbl>
    <w:p>
      <w:pPr>
        <w:ind w:firstLine="640" w:firstLineChars="200"/>
        <w:rPr>
          <w:rFonts w:ascii="仿宋_GB2312" w:eastAsia="仿宋_GB2312"/>
          <w:sz w:val="32"/>
          <w:szCs w:val="32"/>
        </w:rPr>
      </w:pPr>
      <w:r>
        <w:rPr>
          <w:rFonts w:hint="eastAsia" w:ascii="仿宋_GB2312" w:eastAsia="仿宋_GB2312"/>
          <w:sz w:val="32"/>
          <w:szCs w:val="32"/>
        </w:rPr>
        <w:t>根据邢台市编委办《关于成立沙河市行政审批局的批复》(邢机编办字〔2015)126号)及邢台市编委办、邢台市法制办《关于关事项同意沙河市将行政审批局调整为政府工作部门的通知》(</w:t>
      </w:r>
      <w:r>
        <w:rPr>
          <w:rFonts w:hint="eastAsia" w:ascii="仿宋_GB2312" w:eastAsia="仿宋_GB2312"/>
          <w:sz w:val="32"/>
          <w:szCs w:val="32"/>
          <w:lang w:eastAsia="zh-CN"/>
        </w:rPr>
        <w:t>邢</w:t>
      </w:r>
      <w:r>
        <w:rPr>
          <w:rFonts w:hint="eastAsia" w:ascii="仿宋_GB2312" w:eastAsia="仿宋_GB2312"/>
          <w:sz w:val="32"/>
          <w:szCs w:val="32"/>
        </w:rPr>
        <w:t>机编办〔2017)29号)文件精神,设立沙河市行政审批局,为市政府工作部门,挂沙河市人民政府政务服务中心管理委员会牌子。</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市行政审批局设9个内设机构（办公室</w:t>
      </w:r>
      <w:r>
        <w:rPr>
          <w:rFonts w:ascii="仿宋_GB2312" w:hAnsi="宋体" w:eastAsia="仿宋_GB2312" w:cs="宋体"/>
          <w:kern w:val="0"/>
          <w:sz w:val="32"/>
          <w:szCs w:val="32"/>
        </w:rPr>
        <w:t>、综合股、投资项目股、企业设立股、文教卫事务股、社会事务股、涉农事务股、交通城管股、公共资源交易监督股。</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br w:type="textWrapping"/>
      </w:r>
      <w:r>
        <w:rPr>
          <w:rFonts w:ascii="仿宋_GB2312" w:eastAsia="仿宋_GB2312"/>
          <w:sz w:val="32"/>
          <w:szCs w:val="32"/>
        </w:rPr>
        <w:t xml:space="preserve">   </w:t>
      </w:r>
      <w:r>
        <w:rPr>
          <w:rFonts w:hint="eastAsia" w:ascii="黑体" w:hAnsi="黑体" w:eastAsia="黑体" w:cs="黑体"/>
          <w:sz w:val="32"/>
          <w:szCs w:val="32"/>
        </w:rPr>
        <w:t xml:space="preserve"> 二、部门预算安排的总体情况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按照预算管理有关规定，目前我市部门预算的编制实行综合预算制度，即全部收入和支出都反映在预算中，</w:t>
      </w:r>
      <w:r>
        <w:rPr>
          <w:rFonts w:ascii="仿宋_GB2312" w:hAnsi="仿宋_GB2312" w:eastAsia="仿宋_GB2312" w:cs="仿宋_GB2312"/>
          <w:sz w:val="32"/>
          <w:szCs w:val="32"/>
        </w:rPr>
        <w:t>单位的收支包含在部门预算中</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年预算收入</w:t>
      </w:r>
      <w:r>
        <w:rPr>
          <w:rFonts w:ascii="仿宋_GB2312" w:hAnsi="仿宋_GB2312" w:eastAsia="仿宋_GB2312" w:cs="仿宋_GB2312"/>
          <w:sz w:val="32"/>
          <w:szCs w:val="32"/>
        </w:rPr>
        <w:t>699.04</w:t>
      </w:r>
      <w:r>
        <w:rPr>
          <w:rFonts w:hint="eastAsia" w:ascii="仿宋_GB2312" w:hAnsi="仿宋_GB2312" w:eastAsia="仿宋_GB2312" w:cs="仿宋_GB2312"/>
          <w:sz w:val="32"/>
          <w:szCs w:val="32"/>
        </w:rPr>
        <w:t>万元，其中：一般公共预算收入</w:t>
      </w:r>
      <w:r>
        <w:rPr>
          <w:rFonts w:ascii="仿宋_GB2312" w:hAnsi="仿宋_GB2312" w:eastAsia="仿宋_GB2312" w:cs="仿宋_GB2312"/>
          <w:sz w:val="32"/>
          <w:szCs w:val="32"/>
        </w:rPr>
        <w:t>699.04</w:t>
      </w:r>
      <w:r>
        <w:rPr>
          <w:rFonts w:hint="eastAsia" w:ascii="仿宋_GB2312" w:hAnsi="仿宋_GB2312" w:eastAsia="仿宋_GB2312" w:cs="仿宋_GB2312"/>
          <w:sz w:val="32"/>
          <w:szCs w:val="32"/>
        </w:rPr>
        <w:t>万元，基金预算拨款0元。</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w:t>
      </w:r>
      <w:r>
        <w:rPr>
          <w:rFonts w:ascii="仿宋_GB2312" w:hAnsi="仿宋_GB2312" w:eastAsia="仿宋_GB2312" w:cs="仿宋_GB2312"/>
          <w:sz w:val="32"/>
          <w:szCs w:val="32"/>
        </w:rPr>
        <w:t>预算总表支出栏、基本支出表、项目支出表按经济分类和支出功能分类科目编制，反映</w:t>
      </w:r>
      <w:r>
        <w:rPr>
          <w:rFonts w:hint="eastAsia" w:ascii="仿宋_GB2312" w:hAnsi="仿宋_GB2312" w:eastAsia="仿宋_GB2312" w:cs="仿宋_GB2312"/>
          <w:sz w:val="32"/>
          <w:szCs w:val="32"/>
        </w:rPr>
        <w:t>沙河市行政审批局201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年度部门预算中支出预算的总体情况。201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年支出预算</w:t>
      </w:r>
      <w:r>
        <w:rPr>
          <w:rFonts w:ascii="仿宋_GB2312" w:hAnsi="仿宋_GB2312" w:eastAsia="仿宋_GB2312" w:cs="仿宋_GB2312"/>
          <w:sz w:val="32"/>
          <w:szCs w:val="32"/>
        </w:rPr>
        <w:t>699.04</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304.03</w:t>
      </w:r>
      <w:r>
        <w:rPr>
          <w:rFonts w:hint="eastAsia" w:ascii="仿宋_GB2312" w:hAnsi="仿宋_GB2312" w:eastAsia="仿宋_GB2312" w:cs="仿宋_GB2312"/>
          <w:sz w:val="32"/>
          <w:szCs w:val="32"/>
        </w:rPr>
        <w:t>万元，包括人员经费</w:t>
      </w:r>
      <w:r>
        <w:rPr>
          <w:rFonts w:ascii="仿宋_GB2312" w:hAnsi="仿宋_GB2312" w:eastAsia="仿宋_GB2312" w:cs="仿宋_GB2312"/>
          <w:sz w:val="32"/>
          <w:szCs w:val="32"/>
        </w:rPr>
        <w:t>287.32</w:t>
      </w:r>
      <w:r>
        <w:rPr>
          <w:rFonts w:hint="eastAsia" w:ascii="仿宋_GB2312" w:hAnsi="仿宋_GB2312" w:eastAsia="仿宋_GB2312" w:cs="仿宋_GB2312"/>
          <w:sz w:val="32"/>
          <w:szCs w:val="32"/>
        </w:rPr>
        <w:t>万元和日常公用经费</w:t>
      </w:r>
      <w:r>
        <w:rPr>
          <w:rFonts w:ascii="仿宋_GB2312" w:hAnsi="仿宋_GB2312" w:eastAsia="仿宋_GB2312" w:cs="仿宋_GB2312"/>
          <w:sz w:val="32"/>
          <w:szCs w:val="32"/>
        </w:rPr>
        <w:t>16.71</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395.01</w:t>
      </w:r>
      <w:r>
        <w:rPr>
          <w:rFonts w:hint="eastAsia" w:ascii="仿宋_GB2312" w:hAnsi="仿宋_GB2312" w:eastAsia="仿宋_GB2312" w:cs="仿宋_GB2312"/>
          <w:sz w:val="32"/>
          <w:szCs w:val="32"/>
        </w:rPr>
        <w:t>万元，包括</w:t>
      </w:r>
      <w:r>
        <w:rPr>
          <w:rFonts w:ascii="仿宋_GB2312" w:hAnsi="仿宋_GB2312" w:eastAsia="仿宋_GB2312" w:cs="仿宋_GB2312"/>
          <w:sz w:val="32"/>
          <w:szCs w:val="32"/>
        </w:rPr>
        <w:t>运转经费</w:t>
      </w:r>
      <w:r>
        <w:rPr>
          <w:rFonts w:hint="eastAsia" w:ascii="仿宋_GB2312" w:hAnsi="仿宋_GB2312" w:eastAsia="仿宋_GB2312" w:cs="仿宋_GB2312"/>
          <w:sz w:val="32"/>
          <w:szCs w:val="32"/>
        </w:rPr>
        <w:t>230万元</w:t>
      </w:r>
      <w:r>
        <w:rPr>
          <w:rFonts w:ascii="仿宋_GB2312" w:hAnsi="仿宋_GB2312" w:eastAsia="仿宋_GB2312" w:cs="仿宋_GB2312"/>
          <w:sz w:val="32"/>
          <w:szCs w:val="32"/>
        </w:rPr>
        <w:t>和补助经费</w:t>
      </w:r>
      <w:r>
        <w:rPr>
          <w:rFonts w:hint="eastAsia" w:ascii="仿宋_GB2312" w:hAnsi="仿宋_GB2312" w:eastAsia="仿宋_GB2312" w:cs="仿宋_GB2312"/>
          <w:sz w:val="32"/>
          <w:szCs w:val="32"/>
        </w:rPr>
        <w:t>165.01万元。全部</w:t>
      </w:r>
      <w:r>
        <w:rPr>
          <w:rFonts w:ascii="仿宋_GB2312" w:hAnsi="仿宋_GB2312" w:eastAsia="仿宋_GB2312" w:cs="仿宋_GB2312"/>
          <w:sz w:val="32"/>
          <w:szCs w:val="32"/>
        </w:rPr>
        <w:t>为本级支出</w:t>
      </w:r>
      <w:r>
        <w:rPr>
          <w:rFonts w:hint="eastAsia" w:ascii="仿宋_GB2312" w:hAnsi="仿宋_GB2312" w:eastAsia="仿宋_GB2312" w:cs="仿宋_GB2312"/>
          <w:sz w:val="32"/>
          <w:szCs w:val="32"/>
        </w:rPr>
        <w:t>。</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比上年增减情况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预算</w:t>
      </w:r>
      <w:r>
        <w:rPr>
          <w:rFonts w:hint="eastAsia" w:ascii="仿宋_GB2312" w:hAnsi="仿宋_GB2312" w:eastAsia="仿宋_GB2312" w:cs="仿宋_GB2312"/>
          <w:sz w:val="32"/>
          <w:szCs w:val="32"/>
        </w:rPr>
        <w:t>收支</w:t>
      </w:r>
      <w:r>
        <w:rPr>
          <w:rFonts w:ascii="仿宋_GB2312" w:hAnsi="仿宋_GB2312" w:eastAsia="仿宋_GB2312" w:cs="仿宋_GB2312"/>
          <w:sz w:val="32"/>
          <w:szCs w:val="32"/>
        </w:rPr>
        <w:t>安排</w:t>
      </w:r>
      <w:r>
        <w:rPr>
          <w:rFonts w:hint="eastAsia" w:ascii="仿宋_GB2312" w:hAnsi="仿宋_GB2312" w:eastAsia="仿宋_GB2312" w:cs="仿宋_GB2312"/>
          <w:sz w:val="32"/>
          <w:szCs w:val="32"/>
        </w:rPr>
        <w:t>699.04万元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较201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年预算增加</w:t>
      </w:r>
      <w:r>
        <w:rPr>
          <w:rFonts w:ascii="仿宋_GB2312" w:hAnsi="仿宋_GB2312" w:eastAsia="仿宋_GB2312" w:cs="仿宋_GB2312"/>
          <w:sz w:val="32"/>
          <w:szCs w:val="32"/>
        </w:rPr>
        <w:t>99.45</w:t>
      </w:r>
      <w:r>
        <w:rPr>
          <w:rFonts w:hint="eastAsia" w:ascii="仿宋_GB2312" w:hAnsi="仿宋_GB2312" w:eastAsia="仿宋_GB2312" w:cs="仿宋_GB2312"/>
          <w:sz w:val="32"/>
          <w:szCs w:val="32"/>
        </w:rPr>
        <w:t>万元。其中基本支出减少</w:t>
      </w:r>
      <w:r>
        <w:rPr>
          <w:rFonts w:ascii="仿宋_GB2312" w:hAnsi="仿宋_GB2312" w:eastAsia="仿宋_GB2312" w:cs="仿宋_GB2312"/>
          <w:sz w:val="32"/>
          <w:szCs w:val="32"/>
        </w:rPr>
        <w:t>65.56</w:t>
      </w:r>
      <w:r>
        <w:rPr>
          <w:rFonts w:hint="eastAsia" w:ascii="仿宋_GB2312" w:hAnsi="仿宋_GB2312" w:eastAsia="仿宋_GB2312" w:cs="仿宋_GB2312"/>
          <w:sz w:val="32"/>
          <w:szCs w:val="32"/>
        </w:rPr>
        <w:t>万元，主要为部分</w:t>
      </w:r>
      <w:r>
        <w:rPr>
          <w:rFonts w:ascii="仿宋_GB2312" w:hAnsi="仿宋_GB2312" w:eastAsia="仿宋_GB2312" w:cs="仿宋_GB2312"/>
          <w:sz w:val="32"/>
          <w:szCs w:val="32"/>
        </w:rPr>
        <w:t>人员经费</w:t>
      </w:r>
      <w:r>
        <w:rPr>
          <w:rFonts w:hint="eastAsia" w:ascii="仿宋_GB2312" w:hAnsi="仿宋_GB2312" w:eastAsia="仿宋_GB2312" w:cs="仿宋_GB2312"/>
          <w:sz w:val="32"/>
          <w:szCs w:val="32"/>
        </w:rPr>
        <w:t>调到</w:t>
      </w:r>
      <w:r>
        <w:rPr>
          <w:rFonts w:ascii="仿宋_GB2312" w:hAnsi="仿宋_GB2312" w:eastAsia="仿宋_GB2312" w:cs="仿宋_GB2312"/>
          <w:sz w:val="32"/>
          <w:szCs w:val="32"/>
        </w:rPr>
        <w:t>项目支出</w:t>
      </w:r>
      <w:r>
        <w:rPr>
          <w:rFonts w:hint="eastAsia" w:ascii="仿宋_GB2312" w:hAnsi="仿宋_GB2312" w:eastAsia="仿宋_GB2312" w:cs="仿宋_GB2312"/>
          <w:sz w:val="32"/>
          <w:szCs w:val="32"/>
        </w:rPr>
        <w:t>中的</w:t>
      </w:r>
      <w:r>
        <w:rPr>
          <w:rFonts w:ascii="仿宋_GB2312" w:hAnsi="仿宋_GB2312" w:eastAsia="仿宋_GB2312" w:cs="仿宋_GB2312"/>
          <w:sz w:val="32"/>
          <w:szCs w:val="32"/>
        </w:rPr>
        <w:t>补助经费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项目支出增加</w:t>
      </w:r>
      <w:r>
        <w:rPr>
          <w:rFonts w:hint="eastAsia" w:ascii="仿宋_GB2312" w:hAnsi="仿宋_GB2312" w:eastAsia="仿宋_GB2312" w:cs="仿宋_GB2312"/>
          <w:sz w:val="32"/>
          <w:szCs w:val="32"/>
        </w:rPr>
        <w:t>165.01万元，其中运转经费230</w:t>
      </w:r>
      <w:r>
        <w:rPr>
          <w:rFonts w:hint="eastAsia" w:ascii="仿宋_GB2312" w:hAnsi="仿宋_GB2312" w:eastAsia="仿宋_GB2312" w:cs="仿宋_GB2312"/>
          <w:sz w:val="32"/>
          <w:szCs w:val="32"/>
          <w:lang w:eastAsia="zh-CN"/>
        </w:rPr>
        <w:t>万元与</w:t>
      </w:r>
      <w:r>
        <w:rPr>
          <w:rFonts w:hint="eastAsia" w:ascii="仿宋_GB2312" w:hAnsi="仿宋_GB2312" w:eastAsia="仿宋_GB2312" w:cs="仿宋_GB2312"/>
          <w:sz w:val="32"/>
          <w:szCs w:val="32"/>
        </w:rPr>
        <w:t>2017年</w:t>
      </w:r>
      <w:r>
        <w:rPr>
          <w:rFonts w:ascii="仿宋_GB2312" w:hAnsi="仿宋_GB2312" w:eastAsia="仿宋_GB2312" w:cs="仿宋_GB2312"/>
          <w:sz w:val="32"/>
          <w:szCs w:val="32"/>
        </w:rPr>
        <w:t>预算</w:t>
      </w:r>
      <w:r>
        <w:rPr>
          <w:rFonts w:hint="eastAsia" w:ascii="仿宋_GB2312" w:hAnsi="仿宋_GB2312" w:eastAsia="仿宋_GB2312" w:cs="仿宋_GB2312"/>
          <w:sz w:val="32"/>
          <w:szCs w:val="32"/>
        </w:rPr>
        <w:t>持平</w:t>
      </w:r>
      <w:r>
        <w:rPr>
          <w:rFonts w:ascii="仿宋_GB2312" w:hAnsi="仿宋_GB2312" w:eastAsia="仿宋_GB2312" w:cs="仿宋_GB2312"/>
          <w:sz w:val="32"/>
          <w:szCs w:val="32"/>
        </w:rPr>
        <w:t>，补助经费增加</w:t>
      </w:r>
      <w:r>
        <w:rPr>
          <w:rFonts w:hint="eastAsia" w:ascii="仿宋_GB2312" w:hAnsi="仿宋_GB2312" w:eastAsia="仿宋_GB2312" w:cs="仿宋_GB2312"/>
          <w:sz w:val="32"/>
          <w:szCs w:val="32"/>
        </w:rPr>
        <w:t>165.01万元</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rPr>
        <w:t>为基本</w:t>
      </w:r>
      <w:r>
        <w:rPr>
          <w:rFonts w:ascii="仿宋_GB2312" w:hAnsi="仿宋_GB2312" w:eastAsia="仿宋_GB2312" w:cs="仿宋_GB2312"/>
          <w:sz w:val="32"/>
          <w:szCs w:val="32"/>
        </w:rPr>
        <w:t>支出人员经费的</w:t>
      </w:r>
      <w:r>
        <w:rPr>
          <w:rFonts w:hint="eastAsia" w:ascii="仿宋_GB2312" w:hAnsi="仿宋_GB2312" w:eastAsia="仿宋_GB2312" w:cs="仿宋_GB2312"/>
          <w:sz w:val="32"/>
          <w:szCs w:val="32"/>
        </w:rPr>
        <w:t>调入和</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rPr>
        <w:t xml:space="preserve">增加； </w:t>
      </w:r>
    </w:p>
    <w:p>
      <w:pPr>
        <w:spacing w:line="610" w:lineRule="exact"/>
        <w:ind w:firstLine="480" w:firstLineChars="15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机关运行经费安排情况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w:t>
      </w:r>
      <w:r>
        <w:rPr>
          <w:rFonts w:ascii="仿宋_GB2312" w:hAnsi="仿宋_GB2312" w:eastAsia="仿宋_GB2312" w:cs="仿宋_GB2312"/>
          <w:sz w:val="32"/>
          <w:szCs w:val="32"/>
        </w:rPr>
        <w:t>16.71</w:t>
      </w:r>
      <w:r>
        <w:rPr>
          <w:rFonts w:hint="eastAsia" w:ascii="仿宋_GB2312" w:hAnsi="仿宋_GB2312" w:eastAsia="仿宋_GB2312" w:cs="仿宋_GB2312"/>
          <w:sz w:val="32"/>
          <w:szCs w:val="32"/>
        </w:rPr>
        <w:t>万元，主要用于机关</w:t>
      </w:r>
      <w:r>
        <w:rPr>
          <w:rFonts w:ascii="仿宋_GB2312" w:hAnsi="仿宋_GB2312" w:eastAsia="仿宋_GB2312" w:cs="仿宋_GB2312"/>
          <w:sz w:val="32"/>
          <w:szCs w:val="32"/>
        </w:rPr>
        <w:t>正常运转、</w:t>
      </w:r>
      <w:r>
        <w:rPr>
          <w:rFonts w:hint="eastAsia" w:ascii="仿宋_GB2312" w:hAnsi="仿宋_GB2312" w:eastAsia="仿宋_GB2312" w:cs="仿宋_GB2312"/>
          <w:sz w:val="32"/>
          <w:szCs w:val="32"/>
        </w:rPr>
        <w:t>办公取暖费、公务交通补贴、工会经费及福利费等日常运转支出。</w:t>
      </w: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w:t>
      </w:r>
      <w:r>
        <w:rPr>
          <w:rFonts w:hint="eastAsia" w:ascii="黑体" w:hAnsi="黑体" w:eastAsia="黑体" w:cs="黑体"/>
          <w:sz w:val="32"/>
          <w:szCs w:val="32"/>
        </w:rPr>
        <w:t>财政拨款“三公”经费预算安排情况及增减变化原因</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年，我部门“三公”经费预算安排4万元，其中因公出国（境）费0元；公务用车购置及运维费2万元（公务用车购置费0元，公务用车运维费2万元）；公务接待费2万元，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017</w:t>
      </w:r>
      <w:r>
        <w:rPr>
          <w:rFonts w:hint="eastAsia" w:ascii="仿宋_GB2312" w:hAnsi="仿宋_GB2312" w:eastAsia="仿宋_GB2312" w:cs="仿宋_GB2312"/>
          <w:sz w:val="32"/>
          <w:szCs w:val="32"/>
        </w:rPr>
        <w:t>年预算</w:t>
      </w:r>
      <w:r>
        <w:rPr>
          <w:rFonts w:ascii="仿宋_GB2312" w:hAnsi="仿宋_GB2312" w:eastAsia="仿宋_GB2312" w:cs="仿宋_GB2312"/>
          <w:sz w:val="32"/>
          <w:szCs w:val="32"/>
        </w:rPr>
        <w:t>持平。</w:t>
      </w:r>
      <w:r>
        <w:rPr>
          <w:rFonts w:hint="eastAsia" w:ascii="仿宋_GB2312" w:hAnsi="仿宋_GB2312" w:eastAsia="仿宋_GB2312" w:cs="仿宋_GB2312"/>
          <w:sz w:val="32"/>
          <w:szCs w:val="32"/>
        </w:rPr>
        <w:t>我部门将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line="610" w:lineRule="exact"/>
        <w:ind w:left="709"/>
        <w:rPr>
          <w:rFonts w:ascii="黑体" w:hAnsi="黑体" w:eastAsia="黑体" w:cs="黑体"/>
          <w:b/>
          <w:sz w:val="32"/>
          <w:szCs w:val="32"/>
        </w:rPr>
      </w:pPr>
      <w:r>
        <w:rPr>
          <w:rFonts w:hint="eastAsia" w:ascii="黑体" w:hAnsi="黑体" w:eastAsia="黑体" w:cs="黑体"/>
          <w:b/>
          <w:sz w:val="32"/>
          <w:szCs w:val="32"/>
        </w:rPr>
        <w:t>五、绩效预算信息</w:t>
      </w:r>
    </w:p>
    <w:p>
      <w:pPr>
        <w:jc w:val="left"/>
        <w:rPr>
          <w:rFonts w:ascii="仿宋" w:hAnsi="仿宋" w:eastAsia="仿宋"/>
          <w:b/>
          <w:sz w:val="32"/>
          <w:szCs w:val="32"/>
        </w:rPr>
      </w:pPr>
      <w:r>
        <w:rPr>
          <w:rFonts w:hint="eastAsia" w:ascii="仿宋" w:hAnsi="仿宋" w:eastAsia="仿宋" w:cs="宋体"/>
          <w:color w:val="000000"/>
          <w:sz w:val="32"/>
          <w:szCs w:val="32"/>
        </w:rPr>
        <w:t xml:space="preserve"> </w:t>
      </w:r>
      <w:r>
        <w:rPr>
          <w:rFonts w:hint="eastAsia" w:ascii="仿宋" w:hAnsi="仿宋" w:eastAsia="仿宋" w:cs="仿宋"/>
          <w:color w:val="000000"/>
          <w:sz w:val="32"/>
          <w:szCs w:val="32"/>
        </w:rPr>
        <w:t xml:space="preserve"> </w:t>
      </w:r>
      <w:r>
        <w:rPr>
          <w:rFonts w:hint="eastAsia" w:ascii="仿宋" w:hAnsi="仿宋" w:eastAsia="仿宋"/>
          <w:b/>
          <w:sz w:val="32"/>
          <w:szCs w:val="32"/>
        </w:rPr>
        <w:t xml:space="preserve">  </w:t>
      </w:r>
      <w:r>
        <w:rPr>
          <w:rFonts w:ascii="仿宋" w:hAnsi="仿宋" w:eastAsia="仿宋"/>
          <w:b/>
          <w:sz w:val="32"/>
          <w:szCs w:val="32"/>
        </w:rPr>
        <w:t>总体</w:t>
      </w:r>
      <w:r>
        <w:rPr>
          <w:rFonts w:hint="eastAsia" w:ascii="仿宋" w:hAnsi="仿宋" w:eastAsia="仿宋"/>
          <w:b/>
          <w:sz w:val="32"/>
          <w:szCs w:val="32"/>
        </w:rPr>
        <w:t>绩效</w:t>
      </w:r>
      <w:r>
        <w:rPr>
          <w:rFonts w:ascii="仿宋" w:hAnsi="仿宋" w:eastAsia="仿宋"/>
          <w:b/>
          <w:sz w:val="32"/>
          <w:szCs w:val="32"/>
        </w:rPr>
        <w:t>目标：</w:t>
      </w:r>
      <w:r>
        <w:rPr>
          <w:rFonts w:ascii="仿宋" w:hAnsi="仿宋" w:eastAsia="仿宋"/>
          <w:sz w:val="32"/>
          <w:szCs w:val="32"/>
        </w:rPr>
        <w:t>2018年，行政审批局（政务服务中心）将以创建集约、精细、便捷、高效的综合性审批服务平台和完善“互联网+政务服务”为主线，以服务经济、方便群众为目标，大胆探索，不断创新，实现政务服务的全面提升。</w:t>
      </w:r>
    </w:p>
    <w:p>
      <w:pPr>
        <w:spacing w:line="500" w:lineRule="exact"/>
        <w:ind w:firstLine="560"/>
        <w:rPr>
          <w:rFonts w:ascii="仿宋" w:hAnsi="仿宋" w:eastAsia="仿宋"/>
          <w:sz w:val="32"/>
          <w:szCs w:val="32"/>
        </w:rPr>
      </w:pPr>
      <w:r>
        <w:rPr>
          <w:rFonts w:ascii="仿宋" w:hAnsi="仿宋" w:eastAsia="仿宋"/>
          <w:sz w:val="32"/>
          <w:szCs w:val="32"/>
        </w:rPr>
        <w:t>（一）业务学习和培训，提高人员综合素质</w:t>
      </w:r>
    </w:p>
    <w:p>
      <w:pPr>
        <w:spacing w:line="500" w:lineRule="exact"/>
        <w:ind w:firstLine="560"/>
        <w:rPr>
          <w:rFonts w:ascii="仿宋" w:hAnsi="仿宋" w:eastAsia="仿宋"/>
          <w:sz w:val="32"/>
          <w:szCs w:val="32"/>
        </w:rPr>
      </w:pPr>
      <w:r>
        <w:rPr>
          <w:rFonts w:ascii="仿宋" w:hAnsi="仿宋" w:eastAsia="仿宋"/>
          <w:sz w:val="32"/>
          <w:szCs w:val="32"/>
        </w:rPr>
        <w:t>（二）优化投资建设项目审批流程，实现审批再提速</w:t>
      </w:r>
    </w:p>
    <w:p>
      <w:pPr>
        <w:spacing w:line="500" w:lineRule="exact"/>
        <w:ind w:firstLine="560"/>
        <w:rPr>
          <w:rFonts w:ascii="仿宋" w:hAnsi="仿宋" w:eastAsia="仿宋"/>
          <w:sz w:val="32"/>
          <w:szCs w:val="32"/>
        </w:rPr>
      </w:pPr>
      <w:r>
        <w:rPr>
          <w:rFonts w:ascii="仿宋" w:hAnsi="仿宋" w:eastAsia="仿宋"/>
          <w:sz w:val="32"/>
          <w:szCs w:val="32"/>
        </w:rPr>
        <w:t>（三）全面推行“互联网+政务服务”，实现事项办理更加便捷化</w:t>
      </w:r>
    </w:p>
    <w:p>
      <w:pPr>
        <w:spacing w:line="500" w:lineRule="exact"/>
        <w:ind w:firstLine="560"/>
        <w:rPr>
          <w:rFonts w:ascii="仿宋" w:hAnsi="仿宋" w:eastAsia="仿宋"/>
          <w:sz w:val="32"/>
          <w:szCs w:val="32"/>
        </w:rPr>
      </w:pPr>
      <w:r>
        <w:rPr>
          <w:rFonts w:ascii="仿宋" w:hAnsi="仿宋" w:eastAsia="仿宋"/>
          <w:sz w:val="32"/>
          <w:szCs w:val="32"/>
        </w:rPr>
        <w:t>（四）规范行政审批局运行机制</w:t>
      </w:r>
    </w:p>
    <w:p>
      <w:pPr>
        <w:spacing w:line="500" w:lineRule="exact"/>
        <w:ind w:firstLine="560"/>
        <w:rPr>
          <w:rFonts w:ascii="仿宋" w:hAnsi="仿宋" w:eastAsia="仿宋"/>
          <w:sz w:val="32"/>
          <w:szCs w:val="32"/>
        </w:rPr>
      </w:pPr>
      <w:r>
        <w:rPr>
          <w:rFonts w:ascii="仿宋" w:hAnsi="仿宋" w:eastAsia="仿宋"/>
          <w:sz w:val="32"/>
          <w:szCs w:val="32"/>
        </w:rPr>
        <w:t>（五）建立评审专家库加强</w:t>
      </w:r>
    </w:p>
    <w:p>
      <w:pPr>
        <w:spacing w:line="500" w:lineRule="exact"/>
        <w:ind w:firstLine="560"/>
        <w:rPr>
          <w:rFonts w:ascii="仿宋" w:hAnsi="仿宋" w:eastAsia="仿宋"/>
          <w:sz w:val="32"/>
          <w:szCs w:val="32"/>
        </w:rPr>
      </w:pPr>
      <w:r>
        <w:rPr>
          <w:rFonts w:ascii="仿宋" w:hAnsi="仿宋" w:eastAsia="仿宋"/>
          <w:sz w:val="32"/>
          <w:szCs w:val="32"/>
        </w:rPr>
        <w:t>（六）进一步推行“政务服务最多跑一次”</w:t>
      </w:r>
    </w:p>
    <w:p>
      <w:pPr>
        <w:ind w:firstLine="643" w:firstLineChars="200"/>
        <w:jc w:val="left"/>
        <w:rPr>
          <w:rFonts w:ascii="仿宋" w:hAnsi="仿宋" w:eastAsia="仿宋"/>
          <w:b/>
          <w:sz w:val="32"/>
          <w:szCs w:val="32"/>
        </w:rPr>
      </w:pPr>
      <w:r>
        <w:rPr>
          <w:rFonts w:hint="eastAsia" w:ascii="仿宋" w:hAnsi="仿宋" w:eastAsia="仿宋"/>
          <w:b/>
          <w:sz w:val="32"/>
          <w:szCs w:val="32"/>
        </w:rPr>
        <w:t>职责分类绩效目标：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行政审批局负责投资项目、企业设立、交通城管、文教卫生、社会事务、涉农事务等方面的行政审批以及相关事项，并承担相应的法律责任。绩效目标是，制作办事流程、优化办理手续，让办事群众办事明明白白，少跑路。</w:t>
      </w:r>
    </w:p>
    <w:p>
      <w:pPr>
        <w:ind w:firstLine="640" w:firstLineChars="200"/>
        <w:jc w:val="left"/>
        <w:rPr>
          <w:rFonts w:ascii="仿宋" w:hAnsi="仿宋" w:eastAsia="仿宋"/>
          <w:sz w:val="32"/>
          <w:szCs w:val="32"/>
        </w:rPr>
      </w:pPr>
      <w:r>
        <w:rPr>
          <w:rFonts w:hint="eastAsia" w:ascii="仿宋" w:hAnsi="仿宋" w:eastAsia="仿宋"/>
          <w:sz w:val="32"/>
          <w:szCs w:val="32"/>
        </w:rPr>
        <w:t xml:space="preserve"> 二、实现年度发展规划目标的保障措施</w:t>
      </w:r>
    </w:p>
    <w:p>
      <w:pPr>
        <w:spacing w:line="500" w:lineRule="exact"/>
        <w:ind w:firstLine="560"/>
        <w:rPr>
          <w:rFonts w:ascii="仿宋" w:hAnsi="仿宋" w:eastAsia="仿宋"/>
          <w:sz w:val="32"/>
          <w:szCs w:val="32"/>
        </w:rPr>
      </w:pPr>
      <w:r>
        <w:rPr>
          <w:rFonts w:ascii="仿宋" w:hAnsi="仿宋" w:eastAsia="仿宋"/>
          <w:sz w:val="32"/>
          <w:szCs w:val="32"/>
        </w:rPr>
        <w:t xml:space="preserve"> (一)全面贯彻落实党的十九大精神，全面学习贯彻中央、省市关</w:t>
      </w:r>
      <w:bookmarkStart w:id="2" w:name="_GoBack"/>
      <w:bookmarkEnd w:id="2"/>
      <w:r>
        <w:rPr>
          <w:rFonts w:ascii="仿宋" w:hAnsi="仿宋" w:eastAsia="仿宋"/>
          <w:sz w:val="32"/>
          <w:szCs w:val="32"/>
        </w:rPr>
        <w:t>于行政审批制度改革、“放管服”改革等文件精神，进一步提高思想认识，提升服务理念，强化服务经济和方便群众的责任感、使命感。</w:t>
      </w:r>
    </w:p>
    <w:p>
      <w:pPr>
        <w:spacing w:line="500" w:lineRule="exact"/>
        <w:ind w:firstLine="560"/>
        <w:rPr>
          <w:rFonts w:ascii="仿宋" w:hAnsi="仿宋" w:eastAsia="仿宋"/>
          <w:sz w:val="32"/>
          <w:szCs w:val="32"/>
        </w:rPr>
      </w:pPr>
      <w:r>
        <w:rPr>
          <w:rFonts w:ascii="仿宋" w:hAnsi="仿宋" w:eastAsia="仿宋"/>
          <w:sz w:val="32"/>
          <w:szCs w:val="32"/>
        </w:rPr>
        <w:t>（二）待我市《优化投资建设项目审批流程实施办法（试行）》通过后，全面推进落实投资建设项目并联审批工作机制，确保项目审批再提速，早落地。</w:t>
      </w:r>
    </w:p>
    <w:p>
      <w:pPr>
        <w:spacing w:line="500" w:lineRule="exact"/>
        <w:ind w:firstLine="560"/>
        <w:rPr>
          <w:rFonts w:ascii="仿宋" w:hAnsi="仿宋" w:eastAsia="仿宋"/>
          <w:sz w:val="32"/>
          <w:szCs w:val="32"/>
        </w:rPr>
      </w:pPr>
      <w:r>
        <w:rPr>
          <w:rFonts w:ascii="仿宋" w:hAnsi="仿宋" w:eastAsia="仿宋"/>
          <w:sz w:val="32"/>
          <w:szCs w:val="32"/>
        </w:rPr>
        <w:t>（三）沙河市“互联网+政务服务”系统建设工程向财政局申请专项资金，以保证此项工程的顺利进行。按照建成与国家、省和邢台市级平台互联，覆盖我市的市级统筹、整体联动、一网办理的“互联网+政务服务”体系的要求，进一步推进数据共享，推进实体政务服务大厅和网上虚拟大厅融合发展，实现群众足不出户即可进行行政许可申请、咨询审批业务、查询办理结果，让政务服务更加高效、透明，让企业和群众办事更方便、更快捷。</w:t>
      </w:r>
    </w:p>
    <w:p>
      <w:pPr>
        <w:spacing w:line="500" w:lineRule="exact"/>
        <w:ind w:firstLine="560"/>
        <w:rPr>
          <w:rFonts w:ascii="仿宋" w:hAnsi="仿宋" w:eastAsia="仿宋"/>
          <w:sz w:val="32"/>
          <w:szCs w:val="32"/>
        </w:rPr>
      </w:pPr>
      <w:r>
        <w:rPr>
          <w:rFonts w:ascii="仿宋" w:hAnsi="仿宋" w:eastAsia="仿宋"/>
          <w:sz w:val="32"/>
          <w:szCs w:val="32"/>
        </w:rPr>
        <w:t>（四）参照省、邢台市和我市文件要求，进一步规范行政审批局运行机制，推动行政审批体制改革深入发展。一是做好我市第二批划转事项承接工作。按照“放管服”改革工作要求，对新划转的事项重新编制审批流程，简化审批环节，编制《办事指南》，印制一次性告知单，确保事项顺利承接，实现便民利企目标。二是理顺审批与监管关系，明确部门职责。行政审批局配合原审批部门通过信息共享，采取联合行动，形成对违规违法行为的“双制约、共惩处”，建立“一处违法、处处受限”的联合惩戒机制。</w:t>
      </w:r>
    </w:p>
    <w:p>
      <w:pPr>
        <w:spacing w:line="500" w:lineRule="exact"/>
        <w:ind w:firstLine="560"/>
        <w:rPr>
          <w:rFonts w:ascii="仿宋" w:hAnsi="仿宋" w:eastAsia="仿宋"/>
          <w:sz w:val="32"/>
          <w:szCs w:val="32"/>
        </w:rPr>
      </w:pPr>
      <w:r>
        <w:rPr>
          <w:rFonts w:ascii="仿宋" w:hAnsi="仿宋" w:eastAsia="仿宋"/>
          <w:sz w:val="32"/>
          <w:szCs w:val="32"/>
        </w:rPr>
        <w:tab/>
      </w:r>
      <w:r>
        <w:rPr>
          <w:rFonts w:ascii="仿宋" w:hAnsi="仿宋" w:eastAsia="仿宋"/>
          <w:sz w:val="32"/>
          <w:szCs w:val="32"/>
        </w:rPr>
        <w:t>（五）建立健全专家评审机制，对纳入行政许可程序，依照规定应委托相关机构开展的技术性服务，行政审批局须建立统一的审批专家库，根据审批工作的需要，统一组织专家评审。同时，探索行政许可检验、检测、检疫等技术性环节由第三方办理的工作机制，提高审批的准确性和实效性。</w:t>
      </w:r>
    </w:p>
    <w:p>
      <w:pPr>
        <w:spacing w:line="500" w:lineRule="exact"/>
        <w:ind w:firstLine="560"/>
        <w:rPr>
          <w:rFonts w:ascii="仿宋" w:hAnsi="仿宋" w:eastAsia="仿宋"/>
          <w:sz w:val="32"/>
          <w:szCs w:val="32"/>
        </w:rPr>
      </w:pPr>
      <w:r>
        <w:rPr>
          <w:rFonts w:ascii="仿宋" w:hAnsi="仿宋" w:eastAsia="仿宋"/>
          <w:sz w:val="32"/>
          <w:szCs w:val="32"/>
        </w:rPr>
        <w:t>（六）在全面编制公开政务服务事项目录清单的基础上，以企业和群众办理一件政务服务事项“最多跑一次”和“审批不见面”为目标，通过优化办理流程、完善“互联网+政务服务”、整合政务资源、创新服务方式，实现群众和企业在申请材料齐全、符合法定受理条件的情况下，从受理申请到作出办理决定、形成办理结果的全过程“最多跑一次”或“审批不见面”，变“群众跑腿”为“数据跑路”。</w:t>
      </w:r>
    </w:p>
    <w:p>
      <w:pPr>
        <w:spacing w:line="500" w:lineRule="exact"/>
        <w:rPr>
          <w:rFonts w:ascii="仿宋" w:hAnsi="仿宋" w:eastAsia="仿宋"/>
          <w:sz w:val="32"/>
          <w:szCs w:val="32"/>
        </w:rPr>
        <w:sectPr>
          <w:pgSz w:w="11907" w:h="16839"/>
          <w:pgMar w:top="1440" w:right="1800" w:bottom="1440" w:left="1800" w:header="851" w:footer="992" w:gutter="0"/>
          <w:cols w:space="425" w:num="1"/>
          <w:docGrid w:type="lines" w:linePitch="312" w:charSpace="0"/>
        </w:sectPr>
      </w:pPr>
    </w:p>
    <w:p>
      <w:pPr>
        <w:jc w:val="left"/>
        <w:outlineLvl w:val="0"/>
        <w:rPr>
          <w:rFonts w:ascii="仿宋" w:hAnsi="仿宋" w:eastAsia="仿宋"/>
          <w:b/>
          <w:sz w:val="32"/>
        </w:rPr>
      </w:pPr>
      <w:bookmarkStart w:id="0" w:name="_Toc507783783"/>
      <w:r>
        <w:rPr>
          <w:rFonts w:hint="eastAsia" w:ascii="仿宋" w:hAnsi="仿宋" w:eastAsia="仿宋"/>
          <w:b/>
          <w:sz w:val="32"/>
        </w:rPr>
        <w:t>部门</w:t>
      </w:r>
      <w:r>
        <w:rPr>
          <w:rFonts w:ascii="仿宋" w:hAnsi="仿宋" w:eastAsia="仿宋"/>
          <w:b/>
          <w:sz w:val="32"/>
        </w:rPr>
        <w:t>职责及工作活动绩效目标指标</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154</w:t>
            </w:r>
            <w:r>
              <w:rPr>
                <w:rFonts w:hint="eastAsia" w:ascii="方正小标宋_GBK" w:eastAsia="方正小标宋_GBK"/>
                <w:sz w:val="24"/>
              </w:rPr>
              <w:t>沙河市行政审批局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一、贯彻制度、完善体制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负责会同有关部门贯彻落实国家、省、邢台市有关行政审批制度改革的决定，创新和完善相关工作体系、体制机制；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熟知行政审批相关法律法规，规范完善行政审批工作机制。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、组织学习</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开展自学和集体学，传达学习行政审批相关会议和文件精神。</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组织审批工作人员进行学习，知晓国家、省、邢台市有关行政审批制度改革的决定，并贯彻执行。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相关法律法规的普及率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、完善机制</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制定相关规章制度</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包括考勤、请假、管理、运行等规章制度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规范运行</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制度覆盖率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二、行政审批工作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395.01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负责投资项目、经贸商贸、环保城管、建设交通、文教卫生、社会事务、涉农事务等方面的行政审批以及相关事项，并承担相应的法律责任；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制作办事流程、优化办理手续</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、规范流程</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395.01</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制作审批流程图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标准化作业，使百姓办事明明白白</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流程图覆盖率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、简化手续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在原有程序上，合法合理的尽量减少不必要的环节</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让办事群众少跑路</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优化办事流程</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三、现场勘查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负责统一组织行政审批涉及的现场勘查、技术论证和社会听证工作，负责协调国家、省、邢台市垂直管理部门进驻事项的集中、现场办理；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保存好现场勘查的相关资料手续，做好协调组织工作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、资料保存</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纸质、影音等勘察资料专人保存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手续完善，以备日后查看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资料保存完整率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、协调组织</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规范严谨，认真勘查；应进必进，方便群众办事</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树立良好公众形象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便民事项进驻率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四、规范审批工作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负责对行政审批以及相关服务事项的流程进行规范、优化，推进行政审批、政务服务标准化建设；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标准化作业，规范有序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、规范办事程序</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制作办事指南，一次性告知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方便群众办事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标准化规范办事普及率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五、平台信息化建设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负责行政审批和政务服务平台的建设和管理，会同有关部门加强行政审批、政务服务信息化建设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完善信息化建设，提高工作效率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、建立健全信息化建设制度、完善平台建设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健全网站，加强管理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提高社会知名度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平台建设规范有序、内容齐全</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六、人员培训、考核、管理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负责各窗口以及国家、省、邢台市垂直管理部门进驻工作人员的教育、培训和管理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新进人员进行培训和考试，合格后上岗，不定期查岗</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、学习培训</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组织工作人员学习局管理制度</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严格遵守局相关制度，规范工作行为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七、协调工作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负责协调和指导乡（镇）办事处行政审批、政务服务相关工作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提升乡镇、办事处为民服务能力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、协调指导</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对接乡镇、办事处，进行技术和业务指导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保证老百姓办事方便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多联系、多指导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八、其他工作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承办市委市政府交办的其他事项。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及时高质量完成市委市政府交办的各类事项</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、其他工作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及时高质量完成市委市政府交办的各类事项</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树立良好形象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按时完成工作率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九、贯彻落实相关制度</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贯彻执行国家、省、市有关法律、法规以及公共资源交易规则；</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着力建立健全惩治和预防腐败体系；最大限度地发挥市场在资源配置中的基础性作用，促进社会主义市场经济体制不断完善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、落实省、市公共资源交易市场建设有关政策</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按照省、市政策要求，积极开展公共资源交易市场建设各项工作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公共资源交易市场建设进一步完善，运行规范、有序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交易政策贯彻执行覆盖率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十、交易市场管理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组织实施我市公共资源交易市场管理制度；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认真做好公共资源交易工作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、根据省、市有关制度，制定公共资源交易规则、制度</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对照《河北省公共资源交易市场监督管理办法》、《河北省公共资源交易市场运行规则》和《河北省公共资源交易目录》，会同有关部门制订实施适合各类交易项目的管理制度、行为规范</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积极稳妥推进公共资源项目进场交易，加强对各类项目交易过程中的管理，确保各类项目在交易活动过程中公开、公平、公正透明</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规范性文件的合法性审查合格率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拟定公共资源交易平台监督管理工作规范性文件数量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十一、管理公共资源交易市场事务工作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负责为公共资源交易活动提供场地、信息、政策、咨询等具体服务，发布交易信息、中标公告，安排开评标时间、场所；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充分利用网络平台制订项目推介方案，对交易项目进行采集、分类、整理，并提供咨询服务，承担进场交易项目报名、相关资料的查验，安排进场项目交易的时间、场所</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、公共资源交易市场事务性工作管理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为公共资源交易活动提供场地、信息、政策、咨询等具体服务，发布交易信息、中标公告，安排开评标时间、场所；</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保证场地、信息、人员等各类服务的及时有效，使公共资源交易工作顺利进行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保证进场交易透明度</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进场交易项目手续查验覆盖率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提供法规咨询次数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十二、网络维护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负责公共资源交易网络的日常运行和维护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做好日常维修的记录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、网络系统维护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公共资源交易网络的日常运行和维护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网络系统维护好</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保证工作健康有序进行</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十三、监督管理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负责交易大厅、开评标场所秩序的监管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进行公开交易、阳光交易，实现公共资源的有效配置，从源头上有效防止暗箱操作及腐败行为的发生</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、受理对交易中心的投诉并协助调查违规行为</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按照《河北省公共资源交易市场监督管理办法》、《河北省公共资源交易市场运行规则》及相关法律法规要求，监督公共资源交易项目的进场交易，对交易质疑、投诉进行处理，配合执法部门进场监督与执法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进行公开交易、阳光交易，实现公共资源的有效配置，从源头上有效防止暗箱操作及腐败行为的发生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对交易中心相关工作人员的投诉率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bl>
    <w:p>
      <w:pPr>
        <w:spacing w:line="610" w:lineRule="exact"/>
        <w:rPr>
          <w:rFonts w:ascii="黑体" w:hAnsi="黑体" w:eastAsia="黑体" w:cs="黑体"/>
          <w:sz w:val="32"/>
          <w:szCs w:val="32"/>
        </w:rPr>
        <w:sectPr>
          <w:pgSz w:w="16838" w:h="11906" w:orient="landscape"/>
          <w:pgMar w:top="1417" w:right="1440" w:bottom="1417" w:left="1440" w:header="851" w:footer="992" w:gutter="0"/>
          <w:cols w:space="0" w:num="1"/>
          <w:docGrid w:type="lines" w:linePitch="312" w:charSpace="0"/>
        </w:sectPr>
      </w:pP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政府采购预算情况</w:t>
      </w:r>
    </w:p>
    <w:p>
      <w:pPr>
        <w:pStyle w:val="9"/>
        <w:numPr>
          <w:ilvl w:val="0"/>
          <w:numId w:val="3"/>
        </w:numPr>
        <w:spacing w:line="610" w:lineRule="exact"/>
        <w:ind w:firstLineChars="0"/>
        <w:rPr>
          <w:rFonts w:ascii="仿宋_GB2312" w:hAnsi="仿宋_GB2312" w:eastAsia="仿宋_GB2312" w:cs="仿宋_GB2312"/>
          <w:sz w:val="32"/>
          <w:szCs w:val="32"/>
        </w:rPr>
      </w:pPr>
      <w:bookmarkStart w:id="1" w:name="OLE_LINK1"/>
      <w:r>
        <w:rPr>
          <w:rFonts w:hint="eastAsia" w:ascii="仿宋_GB2312" w:hAnsi="仿宋_GB2312" w:eastAsia="仿宋_GB2312" w:cs="仿宋_GB2312"/>
          <w:sz w:val="32"/>
          <w:szCs w:val="32"/>
        </w:rPr>
        <w:t>我部门未安排政府采购预算。</w:t>
      </w:r>
    </w:p>
    <w:bookmarkEnd w:id="1"/>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七、国有资产信息</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沙河市行政审批局上年末固定资产金额为</w:t>
      </w:r>
      <w:r>
        <w:rPr>
          <w:rFonts w:ascii="仿宋_GB2312" w:hAnsi="仿宋_GB2312" w:eastAsia="仿宋_GB2312" w:cs="仿宋_GB2312"/>
          <w:sz w:val="32"/>
          <w:szCs w:val="32"/>
        </w:rPr>
        <w:t>895.0818</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其中房屋面积</w:t>
      </w:r>
      <w:r>
        <w:rPr>
          <w:rFonts w:hint="eastAsia" w:ascii="仿宋_GB2312" w:hAnsi="仿宋_GB2312" w:eastAsia="仿宋_GB2312" w:cs="仿宋_GB2312"/>
          <w:sz w:val="32"/>
          <w:szCs w:val="32"/>
        </w:rPr>
        <w:t>0平方米</w:t>
      </w:r>
      <w:r>
        <w:rPr>
          <w:rFonts w:ascii="仿宋_GB2312" w:hAnsi="仿宋_GB2312" w:eastAsia="仿宋_GB2312" w:cs="仿宋_GB2312"/>
          <w:sz w:val="32"/>
          <w:szCs w:val="32"/>
        </w:rPr>
        <w:t>，价值</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车辆</w:t>
      </w:r>
      <w:r>
        <w:rPr>
          <w:rFonts w:hint="eastAsia" w:ascii="仿宋_GB2312" w:hAnsi="仿宋_GB2312" w:eastAsia="仿宋_GB2312" w:cs="仿宋_GB2312"/>
          <w:sz w:val="32"/>
          <w:szCs w:val="32"/>
        </w:rPr>
        <w:t>1辆</w:t>
      </w:r>
      <w:r>
        <w:rPr>
          <w:rFonts w:ascii="仿宋_GB2312" w:hAnsi="仿宋_GB2312" w:eastAsia="仿宋_GB2312" w:cs="仿宋_GB2312"/>
          <w:sz w:val="32"/>
          <w:szCs w:val="32"/>
        </w:rPr>
        <w:t>，价值</w:t>
      </w:r>
      <w:r>
        <w:rPr>
          <w:rFonts w:hint="eastAsia" w:ascii="仿宋_GB2312" w:hAnsi="仿宋_GB2312" w:eastAsia="仿宋_GB2312" w:cs="仿宋_GB2312"/>
          <w:sz w:val="32"/>
          <w:szCs w:val="32"/>
        </w:rPr>
        <w:t>5.3万元</w:t>
      </w:r>
      <w:r>
        <w:rPr>
          <w:rFonts w:ascii="仿宋_GB2312" w:hAnsi="仿宋_GB2312" w:eastAsia="仿宋_GB2312" w:cs="仿宋_GB2312"/>
          <w:sz w:val="32"/>
          <w:szCs w:val="32"/>
        </w:rPr>
        <w:t>；其他固定资产价值</w:t>
      </w:r>
      <w:r>
        <w:rPr>
          <w:rFonts w:hint="eastAsia" w:ascii="仿宋_GB2312" w:hAnsi="仿宋_GB2312" w:eastAsia="仿宋_GB2312" w:cs="仿宋_GB2312"/>
          <w:sz w:val="32"/>
          <w:szCs w:val="32"/>
        </w:rPr>
        <w:t xml:space="preserve">889.7818万元。  </w:t>
      </w:r>
    </w:p>
    <w:tbl>
      <w:tblPr>
        <w:tblStyle w:val="5"/>
        <w:tblW w:w="9930" w:type="dxa"/>
        <w:tblInd w:w="93" w:type="dxa"/>
        <w:tblLayout w:type="fixed"/>
        <w:tblCellMar>
          <w:top w:w="0" w:type="dxa"/>
          <w:left w:w="108" w:type="dxa"/>
          <w:bottom w:w="0" w:type="dxa"/>
          <w:right w:w="108" w:type="dxa"/>
        </w:tblCellMar>
      </w:tblPr>
      <w:tblGrid>
        <w:gridCol w:w="3847"/>
        <w:gridCol w:w="2324"/>
        <w:gridCol w:w="3759"/>
      </w:tblGrid>
      <w:tr>
        <w:tblPrEx>
          <w:tblCellMar>
            <w:top w:w="0" w:type="dxa"/>
            <w:left w:w="108" w:type="dxa"/>
            <w:bottom w:w="0" w:type="dxa"/>
            <w:right w:w="108" w:type="dxa"/>
          </w:tblCellMar>
        </w:tblPrEx>
        <w:trPr>
          <w:trHeight w:val="667" w:hRule="atLeast"/>
        </w:trPr>
        <w:tc>
          <w:tcPr>
            <w:tcW w:w="9928" w:type="dxa"/>
            <w:gridSpan w:val="3"/>
            <w:vAlign w:val="center"/>
          </w:tcPr>
          <w:p>
            <w:pPr>
              <w:widowControl/>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沙河市行政审批局固定资产占用情况表</w:t>
            </w:r>
          </w:p>
        </w:tc>
      </w:tr>
      <w:tr>
        <w:tblPrEx>
          <w:tblCellMar>
            <w:top w:w="0" w:type="dxa"/>
            <w:left w:w="108" w:type="dxa"/>
            <w:bottom w:w="0" w:type="dxa"/>
            <w:right w:w="108" w:type="dxa"/>
          </w:tblCellMar>
        </w:tblPrEx>
        <w:trPr>
          <w:trHeight w:val="482" w:hRule="atLeast"/>
        </w:trPr>
        <w:tc>
          <w:tcPr>
            <w:tcW w:w="6170" w:type="dxa"/>
            <w:gridSpan w:val="2"/>
            <w:vAlign w:val="center"/>
          </w:tcPr>
          <w:p>
            <w:pPr>
              <w:widowControl/>
              <w:jc w:val="left"/>
              <w:rPr>
                <w:rFonts w:ascii="宋体" w:hAnsi="宋体" w:cs="宋体"/>
                <w:kern w:val="0"/>
                <w:sz w:val="22"/>
                <w:szCs w:val="22"/>
              </w:rPr>
            </w:pPr>
            <w:r>
              <w:rPr>
                <w:rFonts w:hint="eastAsia" w:ascii="宋体" w:hAnsi="宋体" w:cs="宋体"/>
                <w:kern w:val="0"/>
                <w:sz w:val="22"/>
              </w:rPr>
              <w:t>编制部门：沙河市行政审批局</w:t>
            </w:r>
          </w:p>
        </w:tc>
        <w:tc>
          <w:tcPr>
            <w:tcW w:w="3757" w:type="dxa"/>
            <w:vAlign w:val="center"/>
          </w:tcPr>
          <w:p>
            <w:pPr>
              <w:widowControl/>
              <w:jc w:val="left"/>
              <w:rPr>
                <w:rFonts w:ascii="宋体" w:hAnsi="宋体" w:cs="宋体"/>
                <w:kern w:val="0"/>
                <w:sz w:val="22"/>
              </w:rPr>
            </w:pPr>
            <w:r>
              <w:rPr>
                <w:rFonts w:hint="eastAsia" w:ascii="宋体" w:hAnsi="宋体" w:cs="宋体"/>
                <w:kern w:val="0"/>
                <w:sz w:val="22"/>
              </w:rPr>
              <w:t xml:space="preserve">截止时间：2017年12月31日  </w:t>
            </w:r>
          </w:p>
        </w:tc>
      </w:tr>
      <w:tr>
        <w:tblPrEx>
          <w:tblCellMar>
            <w:top w:w="0" w:type="dxa"/>
            <w:left w:w="108" w:type="dxa"/>
            <w:bottom w:w="0" w:type="dxa"/>
            <w:right w:w="108" w:type="dxa"/>
          </w:tblCellMar>
        </w:tblPrEx>
        <w:trPr>
          <w:trHeight w:val="610" w:hRule="atLeast"/>
        </w:trPr>
        <w:tc>
          <w:tcPr>
            <w:tcW w:w="3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23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37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10" w:hRule="atLeast"/>
        </w:trPr>
        <w:tc>
          <w:tcPr>
            <w:tcW w:w="38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375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895.0818</w:t>
            </w:r>
          </w:p>
        </w:tc>
      </w:tr>
      <w:tr>
        <w:tblPrEx>
          <w:tblCellMar>
            <w:top w:w="0" w:type="dxa"/>
            <w:left w:w="108" w:type="dxa"/>
            <w:bottom w:w="0" w:type="dxa"/>
            <w:right w:w="108" w:type="dxa"/>
          </w:tblCellMar>
        </w:tblPrEx>
        <w:trPr>
          <w:trHeight w:val="610" w:hRule="atLeast"/>
        </w:trPr>
        <w:tc>
          <w:tcPr>
            <w:tcW w:w="384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375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0" w:hRule="atLeast"/>
        </w:trPr>
        <w:tc>
          <w:tcPr>
            <w:tcW w:w="384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375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0" w:hRule="atLeast"/>
        </w:trPr>
        <w:tc>
          <w:tcPr>
            <w:tcW w:w="384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w:t>
            </w:r>
          </w:p>
        </w:tc>
        <w:tc>
          <w:tcPr>
            <w:tcW w:w="375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5.3</w:t>
            </w:r>
          </w:p>
        </w:tc>
      </w:tr>
      <w:tr>
        <w:tblPrEx>
          <w:tblCellMar>
            <w:top w:w="0" w:type="dxa"/>
            <w:left w:w="108" w:type="dxa"/>
            <w:bottom w:w="0" w:type="dxa"/>
            <w:right w:w="108" w:type="dxa"/>
          </w:tblCellMar>
        </w:tblPrEx>
        <w:trPr>
          <w:trHeight w:val="610" w:hRule="atLeast"/>
        </w:trPr>
        <w:tc>
          <w:tcPr>
            <w:tcW w:w="384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375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0" w:hRule="atLeast"/>
        </w:trPr>
        <w:tc>
          <w:tcPr>
            <w:tcW w:w="384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375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889.7818</w:t>
            </w:r>
          </w:p>
        </w:tc>
      </w:tr>
    </w:tbl>
    <w:p>
      <w:pPr>
        <w:spacing w:line="610" w:lineRule="exact"/>
        <w:rPr>
          <w:rFonts w:ascii="仿宋_GB2312" w:hAnsi="仿宋_GB2312" w:eastAsia="仿宋_GB2312" w:cs="仿宋_GB2312"/>
          <w:sz w:val="32"/>
          <w:szCs w:val="32"/>
        </w:rPr>
      </w:pP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八</w:t>
      </w:r>
      <w:r>
        <w:rPr>
          <w:rFonts w:ascii="黑体" w:hAnsi="黑体" w:eastAsia="黑体" w:cs="黑体"/>
          <w:sz w:val="32"/>
          <w:szCs w:val="32"/>
        </w:rPr>
        <w:t>、</w:t>
      </w:r>
      <w:r>
        <w:rPr>
          <w:rFonts w:hint="eastAsia" w:ascii="黑体" w:hAnsi="黑体" w:eastAsia="黑体" w:cs="黑体"/>
          <w:sz w:val="32"/>
          <w:szCs w:val="32"/>
        </w:rPr>
        <w:t>名词解释</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 xml:space="preserve">指从本级财政当年拨付给部门的资金。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 xml:space="preserve">指为保障机构正常运转、完成日常工作任务而发生的人员支出和公用支出。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 xml:space="preserve">指政府部门用财政拨款安排的因公出国（境）费，公务用车购置及运行费和公务接待费。 </w:t>
      </w:r>
    </w:p>
    <w:p>
      <w:pPr>
        <w:spacing w:line="61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九</w:t>
      </w:r>
      <w:r>
        <w:rPr>
          <w:rFonts w:ascii="黑体" w:hAnsi="黑体" w:eastAsia="黑体" w:cs="黑体"/>
          <w:sz w:val="32"/>
          <w:szCs w:val="32"/>
        </w:rPr>
        <w:t>、</w:t>
      </w:r>
      <w:r>
        <w:rPr>
          <w:rFonts w:hint="eastAsia" w:ascii="黑体" w:hAnsi="黑体" w:eastAsia="黑体" w:cs="黑体"/>
          <w:sz w:val="32"/>
          <w:szCs w:val="32"/>
        </w:rPr>
        <w:t>其他需要</w:t>
      </w:r>
      <w:r>
        <w:rPr>
          <w:rFonts w:ascii="黑体" w:hAnsi="黑体" w:eastAsia="黑体" w:cs="黑体"/>
          <w:sz w:val="32"/>
          <w:szCs w:val="32"/>
        </w:rPr>
        <w:t>说明的事项</w:t>
      </w:r>
    </w:p>
    <w:p>
      <w:pPr>
        <w:spacing w:line="610" w:lineRule="exact"/>
        <w:ind w:firstLine="640" w:firstLineChars="200"/>
        <w:rPr>
          <w:rFonts w:ascii="仿宋" w:hAnsi="仿宋" w:eastAsia="仿宋" w:cs="黑体"/>
          <w:sz w:val="32"/>
          <w:szCs w:val="32"/>
        </w:rPr>
      </w:pPr>
      <w:r>
        <w:rPr>
          <w:rFonts w:hint="eastAsia" w:ascii="仿宋" w:hAnsi="仿宋" w:eastAsia="仿宋" w:cs="黑体"/>
          <w:sz w:val="32"/>
          <w:szCs w:val="32"/>
        </w:rPr>
        <w:t>无</w:t>
      </w:r>
      <w:r>
        <w:rPr>
          <w:rFonts w:ascii="仿宋" w:hAnsi="仿宋" w:eastAsia="仿宋" w:cs="黑体"/>
          <w:sz w:val="32"/>
          <w:szCs w:val="32"/>
        </w:rPr>
        <w:t>其他需要说明的事项</w:t>
      </w:r>
    </w:p>
    <w:p>
      <w:pPr>
        <w:spacing w:line="610" w:lineRule="exact"/>
        <w:ind w:firstLine="640"/>
        <w:rPr>
          <w:rFonts w:ascii="仿宋_GB2312" w:hAnsi="仿宋_GB2312" w:eastAsia="仿宋_GB2312" w:cs="仿宋_GB2312"/>
          <w:sz w:val="32"/>
          <w:szCs w:val="32"/>
        </w:rPr>
      </w:pP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1D9B3"/>
    <w:multiLevelType w:val="singleLevel"/>
    <w:tmpl w:val="58D1D9B3"/>
    <w:lvl w:ilvl="0" w:tentative="0">
      <w:start w:val="1"/>
      <w:numFmt w:val="chineseCounting"/>
      <w:suff w:val="nothing"/>
      <w:lvlText w:val="%1、"/>
      <w:lvlJc w:val="left"/>
    </w:lvl>
  </w:abstractNum>
  <w:abstractNum w:abstractNumId="1">
    <w:nsid w:val="58D1E27E"/>
    <w:multiLevelType w:val="singleLevel"/>
    <w:tmpl w:val="58D1E27E"/>
    <w:lvl w:ilvl="0" w:tentative="0">
      <w:start w:val="1"/>
      <w:numFmt w:val="chineseCounting"/>
      <w:suff w:val="nothing"/>
      <w:lvlText w:val="（%1）"/>
      <w:lvlJc w:val="left"/>
    </w:lvl>
  </w:abstractNum>
  <w:abstractNum w:abstractNumId="2">
    <w:nsid w:val="5CB01739"/>
    <w:multiLevelType w:val="multilevel"/>
    <w:tmpl w:val="5CB01739"/>
    <w:lvl w:ilvl="0" w:tentative="0">
      <w:start w:val="2018"/>
      <w:numFmt w:val="decimal"/>
      <w:lvlText w:val="%1年，"/>
      <w:lvlJc w:val="left"/>
      <w:pPr>
        <w:ind w:left="1990" w:hanging="135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YjEzMmQyMWRkNzVkYThhMDEwYmRlM2FlNWQwYTYifQ=="/>
    <w:docVar w:name="KSO_WPS_MARK_KEY" w:val="5719ab47-576f-496b-9b41-114b9b2cd8c7"/>
  </w:docVars>
  <w:rsids>
    <w:rsidRoot w:val="7D5E5A0C"/>
    <w:rsid w:val="00034411"/>
    <w:rsid w:val="0004158A"/>
    <w:rsid w:val="00094744"/>
    <w:rsid w:val="00166903"/>
    <w:rsid w:val="001D5660"/>
    <w:rsid w:val="002653C3"/>
    <w:rsid w:val="00292CFD"/>
    <w:rsid w:val="00294C2F"/>
    <w:rsid w:val="002B5DD8"/>
    <w:rsid w:val="00347E9E"/>
    <w:rsid w:val="0037024C"/>
    <w:rsid w:val="003E0F94"/>
    <w:rsid w:val="003E517F"/>
    <w:rsid w:val="00424CC2"/>
    <w:rsid w:val="00473A6D"/>
    <w:rsid w:val="00534137"/>
    <w:rsid w:val="0053545B"/>
    <w:rsid w:val="0054735F"/>
    <w:rsid w:val="0055602C"/>
    <w:rsid w:val="00596E55"/>
    <w:rsid w:val="005F3557"/>
    <w:rsid w:val="00630228"/>
    <w:rsid w:val="00675311"/>
    <w:rsid w:val="00684743"/>
    <w:rsid w:val="006921A7"/>
    <w:rsid w:val="006B4E78"/>
    <w:rsid w:val="006C1D14"/>
    <w:rsid w:val="00776750"/>
    <w:rsid w:val="007816BC"/>
    <w:rsid w:val="007917B6"/>
    <w:rsid w:val="008213BE"/>
    <w:rsid w:val="00840DE1"/>
    <w:rsid w:val="00842190"/>
    <w:rsid w:val="00883D78"/>
    <w:rsid w:val="008B6B86"/>
    <w:rsid w:val="008E68F9"/>
    <w:rsid w:val="00917A56"/>
    <w:rsid w:val="009225A6"/>
    <w:rsid w:val="00927A57"/>
    <w:rsid w:val="00934642"/>
    <w:rsid w:val="0098753A"/>
    <w:rsid w:val="0099371A"/>
    <w:rsid w:val="009F3E85"/>
    <w:rsid w:val="009F7969"/>
    <w:rsid w:val="00A07533"/>
    <w:rsid w:val="00A415CE"/>
    <w:rsid w:val="00A470E6"/>
    <w:rsid w:val="00A76134"/>
    <w:rsid w:val="00AC45BE"/>
    <w:rsid w:val="00B00DB6"/>
    <w:rsid w:val="00B208B6"/>
    <w:rsid w:val="00B546E1"/>
    <w:rsid w:val="00C92D2C"/>
    <w:rsid w:val="00CB7D18"/>
    <w:rsid w:val="00CE4D58"/>
    <w:rsid w:val="00CF5AA7"/>
    <w:rsid w:val="00D3244A"/>
    <w:rsid w:val="00D4645D"/>
    <w:rsid w:val="00E254EB"/>
    <w:rsid w:val="00E51E2F"/>
    <w:rsid w:val="00E705F1"/>
    <w:rsid w:val="00F25A7A"/>
    <w:rsid w:val="00F429F4"/>
    <w:rsid w:val="00F5118D"/>
    <w:rsid w:val="14675473"/>
    <w:rsid w:val="17A91246"/>
    <w:rsid w:val="24074E40"/>
    <w:rsid w:val="2922004A"/>
    <w:rsid w:val="29293F13"/>
    <w:rsid w:val="2C7E36BD"/>
    <w:rsid w:val="3A2B1507"/>
    <w:rsid w:val="443B6235"/>
    <w:rsid w:val="561273BB"/>
    <w:rsid w:val="585938A6"/>
    <w:rsid w:val="5C666561"/>
    <w:rsid w:val="643F4357"/>
    <w:rsid w:val="6A36147E"/>
    <w:rsid w:val="6EB95EE7"/>
    <w:rsid w:val="7182247C"/>
    <w:rsid w:val="7BA17D9E"/>
    <w:rsid w:val="7C9C4244"/>
    <w:rsid w:val="7D5E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B1A3-3E0A-4093-97A6-ACD5DA078F0C}">
  <ds:schemaRefs/>
</ds:datastoreItem>
</file>

<file path=docProps/app.xml><?xml version="1.0" encoding="utf-8"?>
<Properties xmlns="http://schemas.openxmlformats.org/officeDocument/2006/extended-properties" xmlns:vt="http://schemas.openxmlformats.org/officeDocument/2006/docPropsVTypes">
  <Template>Normal</Template>
  <Pages>14</Pages>
  <Words>5827</Words>
  <Characters>6186</Characters>
  <Lines>8</Lines>
  <Paragraphs>13</Paragraphs>
  <TotalTime>683</TotalTime>
  <ScaleCrop>false</ScaleCrop>
  <LinksUpToDate>false</LinksUpToDate>
  <CharactersWithSpaces>6275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2017-03-22T01:38:00Z</dcterms:created>
  <dc:creator>Stela</dc:creator>
  <cp:lastModifiedBy>rainy</cp:lastModifiedBy>
  <cp:lastPrinted>2017-04-01T02:33:00Z</cp:lastPrinted>
  <dcterms:modified xsi:type="dcterms:W3CDTF">2024-03-13T03:20:02Z</dcterms:modified>
  <dc:title>中共沙河市委党校</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0C3C8836D75640749103D1AD5FF04C73_12</vt:lpwstr>
  </property>
</Properties>
</file>