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沙河市民政局</w:t>
      </w:r>
    </w:p>
    <w:p>
      <w:pPr>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lang w:val="en-US" w:eastAsia="zh-CN"/>
        </w:rPr>
        <w:t>情况说明</w:t>
      </w:r>
    </w:p>
    <w:p>
      <w:pPr>
        <w:jc w:val="center"/>
        <w:rPr>
          <w:rFonts w:hint="eastAsia" w:ascii="Times New Roman" w:hAnsi="Times New Roman" w:eastAsia="方正小标宋_GBK" w:cs="Times New Roman"/>
          <w:sz w:val="44"/>
          <w:szCs w:val="44"/>
          <w:lang w:val="en-US" w:eastAsia="zh-CN"/>
        </w:rPr>
      </w:pP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》、《地方预决算公开操作规程》规定，现将</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部门职责：</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（一）贯彻执行国家、省、邢台市民政事业发展和扶贫开发工作的法律法规、政策、规划和计划，结合我市实际，拟定政府规范性文件、政策、规划和计划，经市政府批准后组织实施。</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（二）拟定全市社会团体、社会服务机构等社会组织监督管理办法并组织实施，承担依法对社会团体、社会服务机构等</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社会组织的登记管理和监察责任；承担市社会组织党委日常工作。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（三）牵头拟定全市社会救助政策、标准，统筹社会救助体系建设。负责城乡居民最低生活保障、特困人员救助供养、</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临时救助、生活无着流浪乞讨人员救助工作。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定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拟定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（六）拟定全市婚姻管理政策并组织实施，推进婚俗改革，</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指导婚姻服务机构管理工作。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（七）拟定全市殡葬管理政策、服务规范并组织实施，推</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进殡葬改革，指导殡葬服务机构管理工作。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（八）统筹推进、督促指导、监督管理全市养老服务工作。</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拟定全市养老服务体系建设规划、政策、标准并组织实施，承担老年人福利和特殊困难老年人救助工作。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（九）拟定全市残疾人权益保护政策并组织实施。统筹推进残疾人福利制度建设和康复辅助器具产业发展。</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（十）拟定全市儿童福利、孤弃儿童保障、儿童收养、儿童救助保护政策、标准。健全农村留守儿童关爱服务体系和困境儿童保障制度。</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组织拟定促进全市慈善事业发展政策，指导社会捐助工作。拟定全市社会福利事业发展规划及各类福利机构的管理办法和服务标准；按照有关规定，配合上级做好福利彩票发行管理工作，管理本市福利资金。</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（十二）拟定全市社会工作、志愿服务政策和标准，会同有关部门推进社会工作人才队伍建设和志愿者队伍建设。</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贯彻落实党和国家、省、邢台市各项扶贫开发方针政策和法律法规，组织拟定全市扶贫开发工作政策措施和管理办法；组织落实国家和省、邢台市扶贫开发规划，拟定全市扶贫开发规划和年度计划并组织实施；负责全市贫困识别和动态调整工作，负责全市贫困状况的统计和监测工作，组织实施贫困退出工作；负责扶贫开发工作成效考核评估工作；组织实施扶贫开发政策、责任、工作落实情况督促检查；配合有关部门拟定财政专项扶贫资金管理办法，开展绩效评价。指导监督财政专项扶贫资金使用管理；负责扶贫开发重大事项调查研究；负责扶贫开发宣传报道和信息发布工作；承担市扶贫开发和脱贫工作领导小组办公室职责。</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（十四）完成市委、市政府交办的其他任务。</w:t>
      </w:r>
    </w:p>
    <w:p>
      <w:pPr>
        <w:numPr>
          <w:ilvl w:val="0"/>
          <w:numId w:val="2"/>
        </w:numPr>
        <w:ind w:left="800" w:leftChars="0" w:firstLine="0" w:firstLine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机构设置</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从决算编报单位构成看，纳入 2019 年度本部门决算汇编范围的独立核算单位（以下简称“单位”）共 1 个，具体情况如下：</w:t>
      </w:r>
    </w:p>
    <w:tbl>
      <w:tblPr>
        <w:tblStyle w:val="6"/>
        <w:tblpPr w:leftFromText="180" w:rightFromText="180" w:vertAnchor="text" w:horzAnchor="page" w:tblpX="1649" w:tblpY="535"/>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523"/>
        <w:gridCol w:w="283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90"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序号</w:t>
            </w:r>
          </w:p>
        </w:tc>
        <w:tc>
          <w:tcPr>
            <w:tcW w:w="2523"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单位名称</w:t>
            </w:r>
          </w:p>
        </w:tc>
        <w:tc>
          <w:tcPr>
            <w:tcW w:w="2837"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单位基本性质</w:t>
            </w:r>
          </w:p>
        </w:tc>
        <w:tc>
          <w:tcPr>
            <w:tcW w:w="2195"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90" w:type="dxa"/>
            <w:vAlign w:val="top"/>
          </w:tcPr>
          <w:p>
            <w:pPr>
              <w:keepNext w:val="0"/>
              <w:keepLines w:val="0"/>
              <w:widowControl/>
              <w:suppressLineNumbers w:val="0"/>
              <w:jc w:val="center"/>
              <w:rPr>
                <w:rFonts w:hint="default"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1</w:t>
            </w:r>
          </w:p>
        </w:tc>
        <w:tc>
          <w:tcPr>
            <w:tcW w:w="2523"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沙河市民政局</w:t>
            </w:r>
          </w:p>
        </w:tc>
        <w:tc>
          <w:tcPr>
            <w:tcW w:w="2837"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行政单位</w:t>
            </w:r>
          </w:p>
        </w:tc>
        <w:tc>
          <w:tcPr>
            <w:tcW w:w="2195" w:type="dxa"/>
            <w:vAlign w:val="top"/>
          </w:tcPr>
          <w:p>
            <w:pPr>
              <w:keepNext w:val="0"/>
              <w:keepLines w:val="0"/>
              <w:widowControl/>
              <w:suppressLineNumbers w:val="0"/>
              <w:jc w:val="center"/>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财政拨款</w:t>
            </w:r>
          </w:p>
        </w:tc>
      </w:tr>
    </w:tbl>
    <w:p>
      <w:pPr>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p>
    <w:p>
      <w:pPr>
        <w:spacing w:line="560" w:lineRule="exact"/>
        <w:ind w:firstLine="640" w:firstLineChars="200"/>
        <w:rPr>
          <w:rFonts w:hint="eastAsia" w:eastAsia="仿宋_GB2312"/>
          <w:color w:val="auto"/>
          <w:sz w:val="32"/>
        </w:rPr>
      </w:pPr>
    </w:p>
    <w:p>
      <w:pPr>
        <w:numPr>
          <w:ilvl w:val="0"/>
          <w:numId w:val="0"/>
        </w:numPr>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（一）办公室（人事和计财股）。</w:t>
      </w:r>
    </w:p>
    <w:p>
      <w:pPr>
        <w:numPr>
          <w:ilvl w:val="0"/>
          <w:numId w:val="0"/>
        </w:numPr>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（二）社会组织和社会福利股。</w:t>
      </w:r>
    </w:p>
    <w:p>
      <w:pPr>
        <w:numPr>
          <w:ilvl w:val="0"/>
          <w:numId w:val="0"/>
        </w:numPr>
        <w:ind w:firstLine="640" w:firstLineChars="200"/>
        <w:jc w:val="left"/>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（三）社会救助和社会管理股（城市低保股）。</w:t>
      </w:r>
    </w:p>
    <w:p>
      <w:pPr>
        <w:numPr>
          <w:ilvl w:val="0"/>
          <w:numId w:val="0"/>
        </w:numPr>
        <w:ind w:firstLine="640" w:firstLineChars="200"/>
        <w:jc w:val="left"/>
        <w:rPr>
          <w:rFonts w:hint="eastAsia" w:ascii="仿宋_GB2312" w:hAnsi="仿宋_GB2312" w:eastAsia="仿宋_GB2312" w:cs="仿宋_GB2312"/>
          <w:b w:val="0"/>
          <w:i w:val="0"/>
          <w:snapToGrid/>
          <w:color w:val="000000"/>
          <w:sz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lang w:val="en-US" w:eastAsia="zh-CN"/>
        </w:rPr>
        <w:t>（四）</w:t>
      </w:r>
      <w:r>
        <w:rPr>
          <w:rFonts w:hint="eastAsia" w:ascii="仿宋_GB2312" w:hAnsi="仿宋_GB2312" w:eastAsia="仿宋_GB2312" w:cs="仿宋_GB2312"/>
          <w:b w:val="0"/>
          <w:i w:val="0"/>
          <w:snapToGrid/>
          <w:color w:val="000000"/>
          <w:sz w:val="32"/>
          <w:highlight w:val="none"/>
          <w:shd w:val="clear" w:color="auto" w:fill="FFFFFF"/>
          <w:lang w:eastAsia="zh-CN"/>
        </w:rPr>
        <w:t>下设沙河市低保经济状况核查认定中心、沙河市地名委员会办公室、沙河市勘界办公室、沙河市收养登记处、沙河市凤凰台公墓管理站、沙河市福利生产管理中心、沙河市婚姻登记处、沙河市救助站、沙河市</w:t>
      </w:r>
      <w:r>
        <w:rPr>
          <w:rFonts w:hint="eastAsia" w:ascii="仿宋_GB2312" w:hAnsi="仿宋_GB2312" w:eastAsia="仿宋_GB2312" w:cs="仿宋_GB2312"/>
          <w:b w:val="0"/>
          <w:bCs w:val="0"/>
          <w:color w:val="000000"/>
          <w:sz w:val="32"/>
          <w:szCs w:val="32"/>
          <w:highlight w:val="none"/>
          <w:lang w:val="en-US" w:eastAsia="zh-CN"/>
        </w:rPr>
        <w:t>第一民政事业服务中心、沙河市第二民政事业服务中心、沙河市殡葬管理所</w:t>
      </w:r>
      <w:r>
        <w:rPr>
          <w:rFonts w:hint="eastAsia" w:ascii="仿宋_GB2312" w:hAnsi="仿宋_GB2312" w:eastAsia="仿宋_GB2312" w:cs="仿宋_GB2312"/>
          <w:b w:val="0"/>
          <w:i w:val="0"/>
          <w:snapToGrid/>
          <w:color w:val="000000"/>
          <w:sz w:val="32"/>
          <w:highlight w:val="none"/>
          <w:shd w:val="clear" w:color="auto" w:fill="FFFFFF"/>
          <w:lang w:val="en-US" w:eastAsia="zh-CN"/>
        </w:rPr>
        <w:t>11个下属单位。</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按照预算管理有关规定，目前我市部门预算的编制实行综合预算制度，即全部收入和支出都反映在预算中，</w:t>
      </w:r>
      <w:r>
        <w:rPr>
          <w:rFonts w:hint="eastAsia" w:ascii="仿宋_GB2312" w:hAnsi="仿宋_GB2312" w:eastAsia="仿宋_GB2312" w:cs="仿宋_GB2312"/>
          <w:sz w:val="32"/>
          <w:szCs w:val="32"/>
        </w:rPr>
        <w:t>单位的收支包含在部门预算中。</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反映本部门当年全部收入。2020年预算收入2579.31万元，其中：一般公共预算收入2579.31万元。</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支预算总表支出栏、基本支出表、项目支出表按经济分类和支出功能分类科目编制，反映沙河市民政局2020年度部门预算中支出预算的总体情况2020年支出预算2579.31万元，其中基本支出949.46万元，包括人员经费和正常公用经费；项目支出1629.85万元，包括城乡居民最低生活保障等民政专项资金。</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2020年预算收支安排2579.31万元，较2019年预算3504.89万元减少925.58万元。</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机关运行经费安排43.67万元，主要用于机关正常运转、公务用车运行、办公用房维修维护等日常运行支出。</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财政拨款“三公”经费预算情况及增减变化原因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我部门“三公”经费预算安排4万元，其中因公出国（境）费0元；公务用车购置及运维费2万元（公务用车购置费0元，公务用车运维费2万元）；公务接待费2万元，两项资金预算都与2019年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绩效预算信息</w:t>
      </w:r>
    </w:p>
    <w:p>
      <w:pPr>
        <w:keepNext w:val="0"/>
        <w:keepLines w:val="0"/>
        <w:widowControl/>
        <w:suppressLineNumbers w:val="0"/>
        <w:ind w:firstLine="622" w:firstLineChars="200"/>
        <w:jc w:val="left"/>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第一部分 部门整体绩效目标 </w:t>
      </w:r>
    </w:p>
    <w:p>
      <w:pPr>
        <w:spacing w:line="240" w:lineRule="auto"/>
        <w:ind w:firstLine="562" w:firstLineChars="200"/>
        <w:jc w:val="left"/>
        <w:outlineLvl w:val="1"/>
        <w:rPr>
          <w:rFonts w:hint="eastAsia" w:ascii="仿宋_GB2312" w:hAnsi="仿宋_GB2312" w:eastAsia="仿宋_GB2312" w:cs="仿宋_GB2312"/>
          <w:b/>
          <w:sz w:val="28"/>
          <w:u w:val="none"/>
          <w:lang w:eastAsia="zh-CN"/>
        </w:rPr>
      </w:pPr>
      <w:r>
        <w:rPr>
          <w:rFonts w:hint="eastAsia" w:ascii="仿宋_GB2312" w:hAnsi="仿宋_GB2312" w:eastAsia="仿宋_GB2312" w:cs="仿宋_GB2312"/>
          <w:b/>
          <w:sz w:val="28"/>
          <w:u w:val="none"/>
          <w:lang w:eastAsia="zh-CN"/>
        </w:rPr>
        <w:t>（一）总体绩效目标</w:t>
      </w:r>
      <w:bookmarkStart w:id="0" w:name="_Toc4425"/>
      <w:bookmarkStart w:id="1" w:name="_Toc10335"/>
      <w:r>
        <w:rPr>
          <w:rFonts w:hint="eastAsia" w:ascii="仿宋_GB2312" w:hAnsi="仿宋_GB2312" w:eastAsia="仿宋_GB2312" w:cs="仿宋_GB2312"/>
        </w:rPr>
        <w:fldChar w:fldCharType="begin"/>
      </w:r>
      <w:r>
        <w:rPr>
          <w:rFonts w:hint="eastAsia" w:ascii="仿宋_GB2312" w:hAnsi="仿宋_GB2312" w:eastAsia="仿宋_GB2312" w:cs="仿宋_GB2312"/>
          <w:b/>
          <w:sz w:val="28"/>
          <w:u w:val="none"/>
          <w:lang w:eastAsia="zh-CN"/>
        </w:rPr>
        <w:instrText xml:space="preserve"> TC 总体绩效目标 \f A \l 1 </w:instrText>
      </w:r>
      <w:r>
        <w:rPr>
          <w:rFonts w:hint="eastAsia" w:ascii="仿宋_GB2312" w:hAnsi="仿宋_GB2312" w:eastAsia="仿宋_GB2312" w:cs="仿宋_GB2312"/>
          <w:b/>
          <w:sz w:val="28"/>
          <w:u w:val="none"/>
          <w:lang w:eastAsia="zh-CN"/>
        </w:rPr>
        <w:fldChar w:fldCharType="end"/>
      </w:r>
      <w:bookmarkEnd w:id="0"/>
      <w:bookmarkEnd w:id="1"/>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全力推进脱贫攻坚工作。</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全面加强社会救助工作。继续提高城乡低保标准，扎实推进城乡低保全面核查，做到按户施保、应保尽保;全面落实临时救助制度;落实残疾人两项补贴，保障残疾人合法权益。</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不断推进养老服务事业发展。督促各乡镇办完成今年新增8所农村互助幸福院建设任务；筹建一家居家养老服务中心；抓好第一民政事业服务中心敬老院建设。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指导开展全市农村社区建设。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全面加强农村留守老人、留守儿童和困境儿童的关爱救助。</w:t>
      </w:r>
    </w:p>
    <w:p>
      <w:pPr>
        <w:spacing w:line="500" w:lineRule="exact"/>
        <w:ind w:firstLine="562" w:firstLineChars="200"/>
        <w:jc w:val="left"/>
        <w:outlineLvl w:val="1"/>
        <w:rPr>
          <w:rFonts w:hint="eastAsia" w:ascii="仿宋_GB2312" w:hAnsi="仿宋_GB2312" w:eastAsia="仿宋_GB2312" w:cs="仿宋_GB2312"/>
          <w:b w:val="0"/>
          <w:sz w:val="28"/>
          <w:u w:val="none"/>
          <w:lang w:eastAsia="zh-CN"/>
        </w:rPr>
      </w:pPr>
      <w:r>
        <w:rPr>
          <w:rFonts w:hint="eastAsia" w:ascii="仿宋_GB2312" w:hAnsi="仿宋_GB2312" w:eastAsia="仿宋_GB2312" w:cs="仿宋_GB2312"/>
          <w:b/>
          <w:bCs/>
          <w:sz w:val="28"/>
          <w:u w:val="none"/>
          <w:lang w:eastAsia="zh-CN"/>
        </w:rPr>
        <w:t>（二）分项绩效目标</w:t>
      </w:r>
      <w:bookmarkStart w:id="2" w:name="_Toc7080"/>
      <w:bookmarkStart w:id="3" w:name="_Toc10024"/>
      <w:r>
        <w:rPr>
          <w:rFonts w:hint="eastAsia" w:ascii="仿宋_GB2312" w:hAnsi="仿宋_GB2312" w:eastAsia="仿宋_GB2312" w:cs="仿宋_GB2312"/>
        </w:rPr>
        <w:fldChar w:fldCharType="begin"/>
      </w:r>
      <w:r>
        <w:rPr>
          <w:rFonts w:hint="eastAsia" w:ascii="仿宋_GB2312" w:hAnsi="仿宋_GB2312" w:eastAsia="仿宋_GB2312" w:cs="仿宋_GB2312"/>
          <w:b w:val="0"/>
          <w:sz w:val="28"/>
          <w:u w:val="none"/>
          <w:lang w:eastAsia="zh-CN"/>
        </w:rPr>
        <w:instrText xml:space="preserve"> TC 分项绩效目标 \f A \l 1 </w:instrText>
      </w:r>
      <w:r>
        <w:rPr>
          <w:rFonts w:hint="eastAsia" w:ascii="仿宋_GB2312" w:hAnsi="仿宋_GB2312" w:eastAsia="仿宋_GB2312" w:cs="仿宋_GB2312"/>
          <w:b w:val="0"/>
          <w:sz w:val="28"/>
          <w:u w:val="none"/>
          <w:lang w:eastAsia="zh-CN"/>
        </w:rPr>
        <w:fldChar w:fldCharType="end"/>
      </w:r>
      <w:bookmarkEnd w:id="2"/>
      <w:bookmarkEnd w:id="3"/>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全力推进脱贫攻坚工作。扎实开展建档立卡工作。因人因户施策，全面落实扶贫措施。要运用强化产业增收、实施危房改造、实施扶贫助学、实施民政兜底和医疗救助、动员社会力量参与扶贫等手段，确保如期完成脱贫目标。</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全面加强社会救助工作。继续扎实推进城乡低保全面核查，对符合低保标准的农村贫困人口全部纳入低保政策兜底，做到按户施保、应保尽保，并逐步提高城乡低保标准，实现扶贫线和低保线“两线合一”；全面落实临时救助制度，以乡镇办便民服务中心社救窗口为平台，使城乡困难群众突发性、紧迫性、临时性生活困难，得到就近和兜底救助。</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不断推进养老服务事业发展。一要大力加强公办养老服务机构建设。抓好现有养老服务机构的内部管理，提高管理水平，扩宽服务内容，最大</w:t>
      </w:r>
      <w:r>
        <w:rPr>
          <w:rFonts w:hint="eastAsia" w:ascii="仿宋_GB2312" w:hAnsi="仿宋_GB2312" w:eastAsia="仿宋_GB2312" w:cs="仿宋_GB2312"/>
          <w:b w:val="0"/>
          <w:sz w:val="28"/>
          <w:u w:val="none"/>
          <w:lang w:eastAsia="zh-CN"/>
        </w:rPr>
        <w:t>限度地提高</w:t>
      </w:r>
      <w:r>
        <w:rPr>
          <w:rFonts w:hint="eastAsia" w:ascii="仿宋_GB2312" w:hAnsi="仿宋_GB2312" w:eastAsia="仿宋_GB2312" w:cs="仿宋_GB2312"/>
          <w:b w:val="0"/>
          <w:sz w:val="28"/>
          <w:u w:val="none"/>
        </w:rPr>
        <w:t>公办养老机构的利用率和服务质量。要继续加大第一民政事业服务中心养老院的建设力度，把沙河市第二民政事业服务中心培育成邢台市星级示范养老院。二要着力强化居家养老服务功能。健全完善居家养老服务网络，依托现有资源，大力增强生活照料、医疗保健、文体活动和家政服务等功能，全面提高社区养老服务水平。三要继续提升农村养老服务能力。今年要继续加大农村养老服务设施的建设力度。同时，进一步加快农村养老服务机构的转型发展，通过部门协作、资源整合，进一步提高农村互助幸福院的运营能力和利用水平。</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认真落实好市政府出台的关于留守儿童和困境儿童关爱服务的文件精神，各乡镇办要配备儿童福利督导员并建立台账，通过低保、特困人员救助、临时救助等方式全面落实基本生活保障制度。</w:t>
      </w:r>
    </w:p>
    <w:p>
      <w:pPr>
        <w:spacing w:line="500" w:lineRule="exact"/>
        <w:ind w:firstLine="562" w:firstLineChars="200"/>
        <w:jc w:val="left"/>
        <w:outlineLvl w:val="1"/>
        <w:rPr>
          <w:rFonts w:hint="eastAsia" w:ascii="仿宋_GB2312" w:hAnsi="仿宋_GB2312" w:eastAsia="仿宋_GB2312" w:cs="仿宋_GB2312"/>
          <w:b w:val="0"/>
          <w:sz w:val="28"/>
          <w:u w:val="none"/>
          <w:lang w:eastAsia="zh-CN"/>
        </w:rPr>
      </w:pPr>
      <w:r>
        <w:rPr>
          <w:rFonts w:hint="eastAsia" w:ascii="仿宋_GB2312" w:hAnsi="仿宋_GB2312" w:eastAsia="仿宋_GB2312" w:cs="仿宋_GB2312"/>
          <w:b/>
          <w:bCs/>
          <w:sz w:val="28"/>
          <w:u w:val="none"/>
          <w:lang w:eastAsia="zh-CN"/>
        </w:rPr>
        <w:t>（三）工作保障措施</w:t>
      </w:r>
      <w:bookmarkStart w:id="4" w:name="_Toc14936"/>
      <w:bookmarkStart w:id="5" w:name="_Toc30273"/>
      <w:r>
        <w:rPr>
          <w:rFonts w:hint="eastAsia" w:ascii="仿宋_GB2312" w:hAnsi="仿宋_GB2312" w:eastAsia="仿宋_GB2312" w:cs="仿宋_GB2312"/>
        </w:rPr>
        <w:fldChar w:fldCharType="begin"/>
      </w:r>
      <w:r>
        <w:rPr>
          <w:rFonts w:hint="eastAsia" w:ascii="仿宋_GB2312" w:hAnsi="仿宋_GB2312" w:eastAsia="仿宋_GB2312" w:cs="仿宋_GB2312"/>
          <w:b w:val="0"/>
          <w:sz w:val="28"/>
          <w:u w:val="none"/>
          <w:lang w:eastAsia="zh-CN"/>
        </w:rPr>
        <w:instrText xml:space="preserve"> TC 工作保障措施 \f A \l 1 </w:instrText>
      </w:r>
      <w:r>
        <w:rPr>
          <w:rFonts w:hint="eastAsia" w:ascii="仿宋_GB2312" w:hAnsi="仿宋_GB2312" w:eastAsia="仿宋_GB2312" w:cs="仿宋_GB2312"/>
          <w:b w:val="0"/>
          <w:sz w:val="28"/>
          <w:u w:val="none"/>
          <w:lang w:eastAsia="zh-CN"/>
        </w:rPr>
        <w:fldChar w:fldCharType="end"/>
      </w:r>
      <w:bookmarkEnd w:id="4"/>
      <w:bookmarkEnd w:id="5"/>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深化民政工作改革，创新工作机制</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一是创新发展思路。着眼于民政工作功能作用的延伸和强化，把准民政工作发展的趋势，研究和探索民政工作新的生长点，拓宽民政部门参与构建和谐社会的渠道和途径。在工作布局上实现战略重点全覆盖，做到城乡并举互动；在工作对象上面向社会公众，搞好公共服务；在工作管理方法上由“办”向“服务”转变；在工作方式上大力推进依法行政；在资金投入上由单纯的“等、靠、要”向多元化投入转变，使现代民政从理论到实践都跃升到新境界。</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二是创新工作机制。落实好政府主导、部门协作、社会参与的民政工作机制。主动争取领导重视，积极协调部门支持，热心发动社会参与。推进民政职能转变，加强社会管理和公共服务，充分调动和发挥基层的积极性。适应新形势，把握新机遇，应对新挑战，以改革创新激活民政事业跃升发展，不断开创民政新局面。</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加大财政投入，拓宽筹资渠道</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一是健全以财政投入为主，社会投入为辅的民政事业投入机制。民政事业最根本的任务是保障困难群众的基本生活权益，民政事业在维护社会稳定、促进全面建</w:t>
      </w:r>
      <w:r>
        <w:rPr>
          <w:rFonts w:hint="eastAsia" w:ascii="仿宋_GB2312" w:hAnsi="仿宋_GB2312" w:eastAsia="仿宋_GB2312" w:cs="仿宋_GB2312"/>
          <w:b w:val="0"/>
          <w:sz w:val="28"/>
          <w:u w:val="none"/>
          <w:lang w:eastAsia="zh-CN"/>
        </w:rPr>
        <w:t>成</w:t>
      </w:r>
      <w:r>
        <w:rPr>
          <w:rFonts w:hint="eastAsia" w:ascii="仿宋_GB2312" w:hAnsi="仿宋_GB2312" w:eastAsia="仿宋_GB2312" w:cs="仿宋_GB2312"/>
          <w:b w:val="0"/>
          <w:sz w:val="28"/>
          <w:u w:val="none"/>
        </w:rPr>
        <w:t>小康社会的进程中，将发挥更加重要的作用，要加大财政对民政事业投入，建立各级财政足额预算、财政投入持续增长的机制，强化对经费支出的检查监督机制。拓宽社会筹资渠道，加大社会投入力度，切实发挥社会自治组织的积极作用，大力培育社会救助类的社会团体和民办非企业，创新和完善社</w:t>
      </w:r>
      <w:bookmarkStart w:id="6" w:name="_GoBack"/>
      <w:bookmarkEnd w:id="6"/>
      <w:r>
        <w:rPr>
          <w:rFonts w:hint="eastAsia" w:ascii="仿宋_GB2312" w:hAnsi="仿宋_GB2312" w:eastAsia="仿宋_GB2312" w:cs="仿宋_GB2312"/>
          <w:b w:val="0"/>
          <w:sz w:val="28"/>
          <w:u w:val="none"/>
        </w:rPr>
        <w:t>会捐赠的激励机制，大力推进民政事业社会化，吸引社会资本参与民政事业基础设施建设，特别是老年人福利服务设施建设。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二是充分挖掘内部潜力，以社会化为方向，建立充满活力的事业单位自我发展机制。重视民政事业单位的建设，各类民政事业单位根据各自业务的不同特点，深化改革，加强管理，建立健全内部激励机制和约束机制，逐步适应市场经济的要求，增强自身活力，走自我发展的路子。</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完善民政法规制度，做到依法执政</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研究新常态，适应新常态，始终站在群众需求的角度虑事谋法，始终以问题导向自省自律，不断完善各类救助制度和管理制度，制定各项专项资金管理与行政审批及社会服务行为规范的工作措施，切实做到简政放权，优效服务；牢固树立</w:t>
      </w:r>
      <w:r>
        <w:rPr>
          <w:rFonts w:hint="eastAsia" w:ascii="仿宋_GB2312" w:hAnsi="仿宋_GB2312" w:eastAsia="仿宋_GB2312" w:cs="仿宋_GB2312"/>
          <w:b w:val="0"/>
          <w:sz w:val="28"/>
          <w:u w:val="none"/>
          <w:lang w:eastAsia="zh-CN"/>
        </w:rPr>
        <w:t>法治</w:t>
      </w:r>
      <w:r>
        <w:rPr>
          <w:rFonts w:hint="eastAsia" w:ascii="仿宋_GB2312" w:hAnsi="仿宋_GB2312" w:eastAsia="仿宋_GB2312" w:cs="仿宋_GB2312"/>
          <w:b w:val="0"/>
          <w:sz w:val="28"/>
          <w:u w:val="none"/>
        </w:rPr>
        <w:t>意识，全面实施依法行政；加强法律法规学习，加大民政法律法规的宣传，把直接涉及群众切身利益的执法依据、程序和结果向群众公布，接受群众的监督；解决执法力度不够、措施不力的问题，建立综合执法机制，完善上下衔接，内外结合的执法监督措施和办法；搞好行政执法检查监督，切实提高依法行政水平；强化行政执法责任制和行政执法过错追究制，进一步提高执法人员素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加强干部队伍建设，提高保障水平</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加强民政干部队伍建设、党风廉政建设，纠正部门和行业不正之风，杜绝奢侈浪费，努力提高民政干部开拓创新能力、依法行政能力、协调配合能力、做群众工作能力，形成一支政治坚定、道德高尚、业务精通、作风优良的民政干部队伍。建立和落实学习考核和激励机制，不断提高民政队伍职业能力。切实加强民政基层组织机构建设，在人员编制、经费及办公设施等方面加大保障力度，关心基层民政干部的生活和成长，确保各项民政工作任务在基层得到全面落实。持之以恒地抓好党建工作，做好发展新党员工作，充分发挥5个支部的战斗堡垒作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高度重视消防安全和安全生产工作</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打造安全民政，坚持贯彻“一岗双责”，抓好安全生产和消防安全。牢固树立安全发展理念，按照“管行业必须管安全、管业务必须管安全”要求，强化各级民政部门监管责任和企事业单位主体责任，确保局机关、下属单位及全市养老服务机构安全生产。落实好消防安全制度和消防安全操作规程，加强防火检查、巡查，及时消除火灾隐患。强化安全防范措施，严防火灾事故发生。</w:t>
      </w:r>
    </w:p>
    <w:p>
      <w:pPr>
        <w:keepNext w:val="0"/>
        <w:keepLines w:val="0"/>
        <w:widowControl/>
        <w:suppressLineNumbers w:val="0"/>
        <w:ind w:firstLine="622" w:firstLineChars="200"/>
        <w:jc w:val="left"/>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第二部分 专项资金绩效目标 </w:t>
      </w:r>
    </w:p>
    <w:p>
      <w:p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1、扶贫办工作经费目标表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122-0104-YXN-7H0E</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31.50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31.50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用于扶贫建档立卡、下乡调研、督导、培训、车辆、印制宣传材料、脱贫验收材料、组织开展我市脱贫验收及迎接省市验收等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1、用于扶贫建档立卡、下乡调研、督导、培训、车辆、印制宣传材料、脱贫验收材料、组织开展我市脱贫验收及迎接省市验收等</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2、为更好地推进我市脱贫攻坚工作，扶贫建档立卡、下乡调研、督导、培训、车辆、印制宣传材料、组织开展我市脱贫验收及迎接省市验收按照要求完成好今年的任务目标</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资金使用率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资金使用率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社会效益指标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服务对象满意指标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受益贫困人口满意度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受益贫困人口满意度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2、基层政权和社区党组织服务群众专项经费目标表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122-0403-JXN-ER6E</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基层政权和社区党组织服务群众专项经费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391.65</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391.65</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按时发放社区居民委员会工作人员工资、保险及办公经费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1、按时发放社区居民委员会工作人员工资、保险及办公经费</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按时发放社区居民委员会工作人员工资、保险及办公经费,全面落实“四有”机制，使社区建设工作上新水平。一是加强社区干部队伍建设，实现有人干事；二是加大资金投入，实现有钱办事；三是加强社区基础设施建设</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领取工资人员数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领取工资人员数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147人</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关于加强和改进城市社区居民委员会建设工资的意见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工作人员工资保障率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工作人员工资保障率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关于加强和改进城市社区居民委员会建设工资的意见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工资及时发放率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工资及时发放率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及时发放</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关于加强和改进城市社区居民委员会建设工资的意见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社区工作人员满意度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社区工作人员满意度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关于加强和改进城市社区居民委员会建设工资的意见</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3、低保核查地名等民政系统专项业务经费目标表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122-0501-YXN-B5TW</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低保核查地名等民政系统专项业务经费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推动我市低保核查工作的顺利开展，切实保障城乡困难群众基本生活权益进一步加强和改进最低生活保障工作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1、推动我市低保核查工作的顺利开展，切实保障城乡困难群众基本生活权益</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2、进一步加强和改进最低生活保障工作的</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现完成占预计完成比例</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现完成占预计完成比例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正确人数占总审核人数比例</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正确人数占总审核人数比例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可持续影响指标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困难群众生活水平</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困难群众生活水平</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明显提高</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4、老龄事业经费目标表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122002沙河市民政局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122-0201-YXN-ZRRT</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2.70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2.70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对具有本市行政区域内户籍，低保家庭中60周岁(含)以上失能、半失能老年人。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1、对具有本市行政区域内户籍，低保家庭中60周岁(含)以上失能、半失能老年人。</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2、进行身体、生理机能评估，以确定其生活能力状态，为政府进行政策福利补贴提供依据。</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状态评估准确率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状态评估准确率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关于深化财政支持养老服务体系建设改革的实施意见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困难、失能老人人数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困难、失能老人人数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 xml:space="preserve">2100人 </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关于深化财政支持养老服务体系建设改革的实施意见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被保障人员满意率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被保障人员满意率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关于深化财政支持养老服务体系建设改革的实施意见</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5、婚姻免费登记经费目标表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122-0402-YXN-G4DH</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婚姻免费登记经费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8.10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8.10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保证结婚登记工作正常运行。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1、保证结婚登记工作正常运行。</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2、切实保障城乡居民生活发展需求。</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年登记人数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年登记人数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≥2000人</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收费标准</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收费标准</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免费登记</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办理效率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办理效率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当场发放</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结婚登记的居民满意率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结婚登记的居民满意率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婚姻登记免费制度</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6、基层民政协理员目标表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122-0501-YXN-AW80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基层民政协理员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40.18</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40.18</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确定人员，明确职责，定期发放补贴资金，搞好业务培训。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50.00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1、进一步加强和改进基层民政机构组织建设、队伍建设，努力将我市的基层民政服务工作建成功能完善、作用明显、群众满意的基层组织。</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2、确定人员，明确职责，定期发放补贴资金，搞好业务培训。</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村级民政协理员配备率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配备村级协理员数量占要求配备数量的比例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村级协理员参加培训比例</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已参加培训人数占应参加培训人数的比例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成本指标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村级协理员补贴发放率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已发放资金占应发放资金的比例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可持续影响指标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基层民政工作完善率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完善程度占基层工作的比例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基层民政服务能力</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7、艾滋病特殊人群生活困难救助目标表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122-0101-YXN-DQ0D</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艾滋病特殊人群生活困难救助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81.40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81.40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主要用于保障艾滋病群体基本生活权益，及时足额发放生活补助金及衣被取暖补助金。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1、切实保障艾滋病群体基本生活权益，及时足额发放生活补助金及衣被取暖补助金。</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2、主要用于保障艾滋病群体基本生活权益，及时足额发放生活补助金及衣被取暖补助金。</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领取HIV特殊人群生活补助及冬季取暖资金的人数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领取HIV特殊人群生活补助及冬季取暖资金的人数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按实际情况</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HIV特殊人群救助标准</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HIV特殊人群救助标准</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600元/人/月</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8、艾滋病家庭健康儿童生活困难补助目标表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122-0101-YXN-1KHP</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艾滋病家庭健康儿童生活困难补助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76.32</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76.32</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主要用于保障艾滋病群体基本生活权益，及时足额发放生活补助金及衣被取暖补助金。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1、主要用于保障艾滋病群体基本生活权益，及时足额发放生活补助金及衣被取暖补助金。</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2、切实保障艾滋病群体基本生活权益，及时足额发放生活补助金及衣被取暖补助金。</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领取HIV特殊人群生活补助及冬季取暖资金的人数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领取HIV特殊人群生活补助及冬季取暖资金的人数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按实际情况</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HIV特殊人群救助标准</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HIV特殊人群救助标准</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600元/人/月</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果芳2266批示</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9、 第二民政中心儿童救助养育经费目标表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122-0201-YXN-G2OE</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第二民政中心儿童救助养育经费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2020年保障沙河市孤、弃婴儿基本生活。孤儿基本生活条件保障到位，孤残儿童手术康复及时，</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儿童福利设施功能完善.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1、2020年保障沙河市孤、弃婴儿基本生活。孤儿基本生活条件保障到位，孤残儿童手术康复及时，</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儿童福利设施功能完善.</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2、保障入住孤儿、弃婴基本生活，提高入住人员满意度，孤、弃婴儿入住后能及时得到诊治，提高服务质量，使入住孤弃婴儿可以感受到家的温暖，促进其成长。</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完善提高服务质量</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完善提高服务质量</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有所提高</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提高孤弃婴儿集中供养率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提高孤弃婴儿集中供养率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孤弃婴儿及时就诊率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孤弃婴儿及时就诊率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入住人员对服务质量满意度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入住人员对服务质量满意度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河北省社会福利机构管理办法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10、低收入人群预防返贫目标表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122-0104-YXN-VBDZ</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低收入人群预防返贫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50.00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50.00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用于扶贫建档立卡、下乡调研、督导、培训、车辆、印制宣传材料、脱贫验收材料、组织开展我市脱贫验收及迎接省市验收等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1、用于扶贫建档立卡、下乡调研、督导、培训、车辆、印制宣传材料、脱贫验收材料、组织开展我市脱贫验收及迎接省市验收等</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2、为更好地推进我市脱贫攻坚工作，扶贫建档立卡、下乡调研、督导、培训、车辆、印制宣传材料、组织开展我市脱贫验收及迎接省市验收按照要求完成好今年的任务目标</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资金使用率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资金使用率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社会效益指标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政策知晓率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政策知晓率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受益贫困人口满意度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受益贫困人口满意度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扶贫年度考核办法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11、业务补助经费*目标表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122-0502-YXN-DWUX</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业务补助经费*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30.00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30.00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将符合条件的及时纳入保障范围，定时发放救助资金。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1、将符合条件的及时纳入保障范围，定时发放救助资金。</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2、低保核查工作的顺利开展，切实保障城乡困难群众的基本生活权益</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城乡低保保障率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城乡低保保障率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申请低保人员核实率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申请低保人员核实率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符合低保条件的建档立卡贫困人口应保未保比率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符合低保条件的建档立卡贫困人口应保未保比率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12、敬老院生活补贴及取暖等目标表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122-0202-YXN-5VG4</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敬老院生活补贴及取暖等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54.00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54.00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为使特困人员集中供养对象安全过冬，需对特困人员供养机构冬季取暖所需的煤炭、棉衣被、取暖用电进行补助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1、为使特困人员集中供养对象安全过冬，需对特困人员供养机构冬季取暖所需的煤炭、棉衣被、取暖用电进行补助</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2、使我市的集中供养特困人员安全、温暖过冬</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成本指标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服务人员工资</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服务人员工资</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1790元/月/人</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特困人员物资发放率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特困人员物资发放率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入住人员满意度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入住人员满意度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社会救助标准</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13、殡葬事业运行补助目标表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122-0203-YXN-L4PW</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殡葬事业运行补助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100.00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100.00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完成殡葬改造提升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1、完成殡葬改造提升</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2、保障殡仪馆火化项目正常运转，促进我市殡葬事业正常有序发展。</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工程验收合格率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工程验收合格率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邢市财综【2015】8号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当年投资完成率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当年投资完成率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邢市财综【2015】8号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当年工程完工率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当年工程完工率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邢市财综【2015】8号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可持续影响指标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已建工程是否良性运行</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已建工程是否良性运行</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可良性运转</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邢市财综【2015】8号</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14、殡葬管理事业补助（非税收入）目标表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122-0203-YXN-7EBE</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殡葬管理补助*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按月份支付职工工资、缴纳职工社保和单位其他支出。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1、按月份支付职工工资、缴纳职工社保和单位其他支出。</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2、确保职工工资按时发放、职工社保按时缴纳，单位业务顺利开展。</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工资发放的及时性</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工资发放的及时性</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关于充分发挥党员干部带头作用全面深化改革的实施意见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发放工资人数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发放工资人数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≥3人</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关于充分发挥党员干部带头作用全面深化改革的实施意见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职工满意度指标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职工满意度指标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关于充分发挥党员干部带头作用全面深化改革的实施意见</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15、城乡最低生活保障金支出目标表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122-0101-YXN-E9T2</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城乡最低生活保障金支出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300.00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300.00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规范城乡低保政策实施，合理确定保障标准，使低保对象基本生活得到有效保障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1、将符合条件的及时纳入保障范围，定时发放救助资金。</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将符合条件的及时纳入保障范围，定时发放救助资金。</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2、实行动态管理，做到应保尽保，应退尽退。</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低保对象人数</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低保对象人数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应保尽报</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城乡低保标准</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城乡低保标准</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稳步提高</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成本指标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低保资金社会化发放率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低保资金社会化发放率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最低生活保障审核审批办法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16、农村特困人员救助供养支出目标表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122-0101-YXN-W94G</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农村特困人员救助供养支出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243.00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243.00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按要求将符合特困供养政策的纳入特困供养，发放特困供养资金、护理补贴、丧葬补助资金。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1、实行动态管理，做好应保尽保、应退尽退。</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2、按要求将符合特困供养政策的纳入特困供养，发放特困供养资金、护理补贴、丧葬补助资金。</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特困人员保障率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特困人员保障率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河北省人民政府《关于进一步健全特困人员救助供养制度的实施意见》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申请特困救助人员核实率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申请特困救助人员核实率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河北省人民政府《关于进一步健全特困人员救助供养制度的实施意见》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保障人员满意度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河北省人民政府《关于进一步健全特困人员救助供养制度的实施意见》</w:t>
            </w:r>
          </w:p>
        </w:tc>
      </w:tr>
    </w:tbl>
    <w:p>
      <w:pPr>
        <w:numPr>
          <w:ilvl w:val="0"/>
          <w:numId w:val="0"/>
        </w:numPr>
        <w:spacing w:line="500" w:lineRule="exact"/>
        <w:jc w:val="left"/>
        <w:outlineLvl w:val="9"/>
        <w:rPr>
          <w:rFonts w:hint="eastAsia" w:ascii="仿宋_GB2312" w:hAnsi="仿宋_GB2312" w:eastAsia="仿宋_GB2312" w:cs="仿宋_GB2312"/>
          <w:b/>
          <w:bCs/>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17、残疾人生活和护理补贴目标表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122-0101-YXN-CHK0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残疾人生活和护理补贴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152.00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152.00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保障困难残疾人生活补贴、重度残疾人护理补贴及时足额发放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1、实行动态管理</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2、做到应保尽报</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残疾人两项补贴享受人员核实率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效果指标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社会效益指标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保障残疾人生活水平</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被保障人员满意率占全部保障人员比例</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r>
        <w:rPr>
          <w:rFonts w:hint="eastAsia" w:ascii="仿宋_GB2312" w:hAnsi="仿宋_GB2312" w:eastAsia="仿宋_GB2312" w:cs="仿宋_GB2312"/>
          <w:b w:val="0"/>
          <w:sz w:val="28"/>
          <w:u w:val="none"/>
          <w:lang w:val="en-US" w:eastAsia="zh-CN"/>
        </w:rPr>
        <w:t>18、救助站经费目标表</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122-0101-YXN-ZPAO</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救助站经费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预算数</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10.00</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其中：财政资金</w:t>
            </w:r>
          </w:p>
        </w:tc>
        <w:tc>
          <w:tcPr>
            <w:tcW w:w="130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10.00</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其他资金</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8279" w:type="dxa"/>
            <w:gridSpan w:val="6"/>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保障救助站工作正常运转，保障流浪乞讨人员自主和护送返乡支出，保障流浪乞讨精神病人的医疗救治支出，保障流浪乞讨人员站内生活救助支出。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3月底</w:t>
            </w: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6月底</w:t>
            </w: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10月底</w:t>
            </w: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仿宋_GB2312" w:hAnsi="仿宋_GB2312" w:eastAsia="仿宋_GB2312" w:cs="仿宋_GB2312"/>
                <w:b/>
                <w:sz w:val="28"/>
                <w:u w:val="none"/>
                <w:vertAlign w:val="baseline"/>
                <w:lang w:eastAsia="zh-CN"/>
              </w:rPr>
            </w:pPr>
          </w:p>
        </w:tc>
        <w:tc>
          <w:tcPr>
            <w:tcW w:w="2410"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588"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30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2977" w:type="dxa"/>
            <w:gridSpan w:val="2"/>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1、保障救助站工作正常运转，保障流浪乞讨人员自主和护送返乡支出，保障流浪乞讨精神病人的医疗救治支出，保障流浪乞讨人员站内生活救助支出。</w:t>
            </w:r>
          </w:p>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2、进一步做好社会流浪乞讨人员救助管理工作，做好流浪乞讨精神病人医疗救治工作，使流浪乞讨人员尽快回归家庭与亲人团聚，街头无流浪乞讨人员。</w:t>
            </w:r>
          </w:p>
        </w:tc>
      </w:tr>
    </w:tbl>
    <w:p>
      <w:pPr>
        <w:spacing w:line="14" w:lineRule="exact"/>
        <w:ind w:firstLine="422" w:firstLineChars="200"/>
        <w:jc w:val="center"/>
        <w:outlineLvl w:val="9"/>
        <w:rPr>
          <w:rFonts w:hint="eastAsia" w:ascii="仿宋_GB2312" w:hAnsi="仿宋_GB2312" w:eastAsia="仿宋_GB2312" w:cs="仿宋_GB2312"/>
          <w:b/>
          <w:sz w:val="21"/>
          <w:u w:val="none"/>
          <w:lang w:eastAsia="zh-CN"/>
        </w:rPr>
      </w:pPr>
      <w:r>
        <w:rPr>
          <w:rFonts w:hint="eastAsia" w:ascii="仿宋_GB2312" w:hAnsi="仿宋_GB2312" w:eastAsia="仿宋_GB2312" w:cs="仿宋_GB2312"/>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一级指标</w:t>
            </w:r>
          </w:p>
        </w:tc>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二级指标</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三级指标</w:t>
            </w:r>
          </w:p>
        </w:tc>
        <w:tc>
          <w:tcPr>
            <w:tcW w:w="2892"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绩效指标描述</w:t>
            </w:r>
          </w:p>
        </w:tc>
        <w:tc>
          <w:tcPr>
            <w:tcW w:w="1276"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w:t>
            </w:r>
          </w:p>
        </w:tc>
        <w:tc>
          <w:tcPr>
            <w:tcW w:w="1701"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产出指标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数量指标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流浪乞讨人员救助服务保障率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流浪乞讨人员救助服务保障率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城市生活无着的流浪乞讨人员救助管理办法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质量指标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流浪应救人员的救助率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流浪应救人员的救助率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城市生活无着的流浪乞讨人员救助管理办法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时效指标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补助资金及时发放率</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补助资金及时发放率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城市生活无着的流浪乞讨人员救助管理办法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满意度指标</w:t>
            </w:r>
          </w:p>
        </w:tc>
        <w:tc>
          <w:tcPr>
            <w:tcW w:w="1134"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服务对象满意度指标</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受助对象满意度</w:t>
            </w:r>
          </w:p>
        </w:tc>
        <w:tc>
          <w:tcPr>
            <w:tcW w:w="2892"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受助对象满意度</w:t>
            </w:r>
          </w:p>
        </w:tc>
        <w:tc>
          <w:tcPr>
            <w:tcW w:w="1276"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≥90%</w:t>
            </w:r>
          </w:p>
        </w:tc>
        <w:tc>
          <w:tcPr>
            <w:tcW w:w="1701" w:type="dxa"/>
            <w:vAlign w:val="center"/>
          </w:tcPr>
          <w:p>
            <w:pPr>
              <w:spacing w:line="300" w:lineRule="exact"/>
              <w:jc w:val="left"/>
              <w:outlineLvl w:val="9"/>
              <w:rPr>
                <w:rFonts w:hint="eastAsia" w:ascii="仿宋_GB2312" w:hAnsi="仿宋_GB2312" w:eastAsia="仿宋_GB2312" w:cs="仿宋_GB2312"/>
                <w:b/>
                <w:sz w:val="21"/>
                <w:u w:val="none"/>
                <w:vertAlign w:val="baseline"/>
                <w:lang w:eastAsia="zh-CN"/>
              </w:rPr>
            </w:pPr>
            <w:r>
              <w:rPr>
                <w:rFonts w:hint="eastAsia" w:ascii="仿宋_GB2312" w:hAnsi="仿宋_GB2312" w:eastAsia="仿宋_GB2312" w:cs="仿宋_GB2312"/>
                <w:b/>
                <w:sz w:val="21"/>
                <w:u w:val="none"/>
                <w:vertAlign w:val="baseline"/>
                <w:lang w:eastAsia="zh-CN"/>
              </w:rPr>
              <w:t>城市生活无着的流浪乞讨人员救助管理办法</w:t>
            </w:r>
          </w:p>
        </w:tc>
      </w:tr>
    </w:tbl>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2020年，我部门未安排政府采购预算。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沙河市民政局含下属单位的上年末固定资产金额为2793.59万元，本年度无拟购置固定资产。</w:t>
      </w:r>
    </w:p>
    <w:tbl>
      <w:tblPr>
        <w:tblStyle w:val="5"/>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1"/>
        <w:gridCol w:w="1608"/>
        <w:gridCol w:w="199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   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数 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价值（万元）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资产总额</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8"/>
                <w:szCs w:val="28"/>
                <w:u w:val="none"/>
                <w:lang w:val="en-US"/>
              </w:rPr>
            </w:pPr>
            <w:r>
              <w:rPr>
                <w:rFonts w:hint="eastAsia" w:ascii="仿宋_GB2312" w:hAnsi="仿宋_GB2312" w:eastAsia="仿宋_GB2312" w:cs="仿宋_GB2312"/>
                <w:b/>
                <w:i w:val="0"/>
                <w:color w:val="000000"/>
                <w:kern w:val="0"/>
                <w:sz w:val="28"/>
                <w:szCs w:val="28"/>
                <w:u w:val="none"/>
                <w:lang w:val="en-US" w:eastAsia="zh-CN" w:bidi="ar"/>
              </w:rPr>
              <w:t>2835.5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1、房屋（平方米）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18198.65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2085.54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其中：办公用房（平方米）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2087.9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329.47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2、车辆（台、辆）</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60.33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3、单价在20万元以上的设备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4、其他固定资产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483.63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财政拨款收入：</w:t>
      </w:r>
      <w:r>
        <w:rPr>
          <w:rFonts w:hint="eastAsia" w:ascii="仿宋_GB2312" w:hAnsi="仿宋_GB2312" w:eastAsia="仿宋_GB2312" w:cs="仿宋_GB2312"/>
          <w:color w:val="auto"/>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基本支出：</w:t>
      </w:r>
      <w:r>
        <w:rPr>
          <w:rFonts w:hint="eastAsia" w:ascii="仿宋_GB2312" w:hAnsi="仿宋_GB2312" w:eastAsia="仿宋_GB2312" w:cs="仿宋_GB2312"/>
          <w:color w:val="auto"/>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“三公”经费：</w:t>
      </w:r>
      <w:r>
        <w:rPr>
          <w:rFonts w:hint="eastAsia" w:ascii="仿宋_GB2312" w:hAnsi="仿宋_GB2312" w:eastAsia="仿宋_GB2312" w:cs="仿宋_GB2312"/>
          <w:color w:val="auto"/>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机关运行经费：</w:t>
      </w:r>
      <w:r>
        <w:rPr>
          <w:rFonts w:hint="eastAsia" w:ascii="仿宋_GB2312" w:hAnsi="仿宋_GB2312" w:eastAsia="仿宋_GB2312" w:cs="仿宋_GB2312"/>
          <w:color w:val="auto"/>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绩效预算：</w:t>
      </w:r>
      <w:r>
        <w:rPr>
          <w:rFonts w:hint="eastAsia" w:ascii="仿宋_GB2312" w:hAnsi="仿宋_GB2312" w:eastAsia="仿宋_GB2312" w:cs="仿宋_GB2312"/>
          <w:color w:val="auto"/>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政府采购</w:t>
      </w:r>
      <w:r>
        <w:rPr>
          <w:rFonts w:hint="eastAsia" w:ascii="仿宋_GB2312" w:hAnsi="仿宋_GB2312" w:eastAsia="仿宋_GB2312" w:cs="仿宋_GB2312"/>
          <w:color w:val="auto"/>
          <w:sz w:val="32"/>
          <w:szCs w:val="32"/>
          <w:lang w:val="en-US" w:eastAsia="zh-CN"/>
        </w:rPr>
        <w:t>：指各级政府为从事日常的政务活动或为了满足公共服务的目的，利用财政性资金和政府借款购买货物、工程和服务的行为。</w:t>
      </w:r>
    </w:p>
    <w:p>
      <w:pPr>
        <w:numPr>
          <w:ilvl w:val="0"/>
          <w:numId w:val="0"/>
        </w:numPr>
        <w:autoSpaceDE w:val="0"/>
        <w:autoSpaceDN w:val="0"/>
        <w:adjustRightInd w:val="0"/>
        <w:ind w:left="64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本单位无国有资本经营预算财政拨款支出</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48</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0A7CC"/>
    <w:multiLevelType w:val="singleLevel"/>
    <w:tmpl w:val="AB90A7CC"/>
    <w:lvl w:ilvl="0" w:tentative="0">
      <w:start w:val="2"/>
      <w:numFmt w:val="decimal"/>
      <w:suff w:val="nothing"/>
      <w:lvlText w:val="%1、"/>
      <w:lvlJc w:val="left"/>
      <w:pPr>
        <w:ind w:left="800" w:firstLine="0"/>
      </w:pPr>
    </w:lvl>
  </w:abstractNum>
  <w:abstractNum w:abstractNumId="1">
    <w:nsid w:val="58D1D9B3"/>
    <w:multiLevelType w:val="singleLevel"/>
    <w:tmpl w:val="58D1D9B3"/>
    <w:lvl w:ilvl="0" w:tentative="0">
      <w:start w:val="1"/>
      <w:numFmt w:val="chineseCounting"/>
      <w:suff w:val="nothing"/>
      <w:lvlText w:val="%1、"/>
      <w:lvlJc w:val="left"/>
    </w:lvl>
  </w:abstractNum>
  <w:abstractNum w:abstractNumId="2">
    <w:nsid w:val="58D1E27E"/>
    <w:multiLevelType w:val="singleLevel"/>
    <w:tmpl w:val="58D1E27E"/>
    <w:lvl w:ilvl="0" w:tentative="0">
      <w:start w:val="1"/>
      <w:numFmt w:val="chineseCounting"/>
      <w:suff w:val="nothing"/>
      <w:lvlText w:val="（%1）"/>
      <w:lvlJc w:val="left"/>
    </w:lvl>
  </w:abstractNum>
  <w:abstractNum w:abstractNumId="3">
    <w:nsid w:val="58D2299A"/>
    <w:multiLevelType w:val="singleLevel"/>
    <w:tmpl w:val="58D2299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E5A0C"/>
    <w:rsid w:val="01027FCC"/>
    <w:rsid w:val="025F3430"/>
    <w:rsid w:val="02FE6A33"/>
    <w:rsid w:val="068A7A30"/>
    <w:rsid w:val="08133CF9"/>
    <w:rsid w:val="08323414"/>
    <w:rsid w:val="083C3FC4"/>
    <w:rsid w:val="084336FE"/>
    <w:rsid w:val="089775CD"/>
    <w:rsid w:val="0AA47C89"/>
    <w:rsid w:val="0D313077"/>
    <w:rsid w:val="0F0A5CBE"/>
    <w:rsid w:val="0F986795"/>
    <w:rsid w:val="0FE173AC"/>
    <w:rsid w:val="10D3762A"/>
    <w:rsid w:val="11D82848"/>
    <w:rsid w:val="1577328F"/>
    <w:rsid w:val="16227841"/>
    <w:rsid w:val="175479BA"/>
    <w:rsid w:val="17C40914"/>
    <w:rsid w:val="18262A04"/>
    <w:rsid w:val="1A321107"/>
    <w:rsid w:val="1ABB57B6"/>
    <w:rsid w:val="1B8F77CD"/>
    <w:rsid w:val="1BAF3E7C"/>
    <w:rsid w:val="1BF810B4"/>
    <w:rsid w:val="1FF11732"/>
    <w:rsid w:val="204876D5"/>
    <w:rsid w:val="23BA0F34"/>
    <w:rsid w:val="27184D56"/>
    <w:rsid w:val="28374A00"/>
    <w:rsid w:val="2922004A"/>
    <w:rsid w:val="29293F13"/>
    <w:rsid w:val="29AA49C7"/>
    <w:rsid w:val="2AE3209A"/>
    <w:rsid w:val="2B280FA4"/>
    <w:rsid w:val="2B422583"/>
    <w:rsid w:val="2D4131DE"/>
    <w:rsid w:val="2E283248"/>
    <w:rsid w:val="319C3487"/>
    <w:rsid w:val="32300709"/>
    <w:rsid w:val="32F46A87"/>
    <w:rsid w:val="34B11343"/>
    <w:rsid w:val="35585E1C"/>
    <w:rsid w:val="37B74E64"/>
    <w:rsid w:val="389D2AA1"/>
    <w:rsid w:val="38EB016A"/>
    <w:rsid w:val="3A2B1507"/>
    <w:rsid w:val="3AF53755"/>
    <w:rsid w:val="3B853DBE"/>
    <w:rsid w:val="3C0E0293"/>
    <w:rsid w:val="3FA1632F"/>
    <w:rsid w:val="406A7BC4"/>
    <w:rsid w:val="40F01FA8"/>
    <w:rsid w:val="422D50F8"/>
    <w:rsid w:val="42446149"/>
    <w:rsid w:val="49E63753"/>
    <w:rsid w:val="4B651A6D"/>
    <w:rsid w:val="4C7B15FB"/>
    <w:rsid w:val="4D0147FD"/>
    <w:rsid w:val="4E493870"/>
    <w:rsid w:val="53A4734E"/>
    <w:rsid w:val="55B74043"/>
    <w:rsid w:val="561273BB"/>
    <w:rsid w:val="56840358"/>
    <w:rsid w:val="56BB3C9F"/>
    <w:rsid w:val="56CC4339"/>
    <w:rsid w:val="56EC08D6"/>
    <w:rsid w:val="5C815A5F"/>
    <w:rsid w:val="5D6A1448"/>
    <w:rsid w:val="5DA744A4"/>
    <w:rsid w:val="5EC17A7B"/>
    <w:rsid w:val="63D2720F"/>
    <w:rsid w:val="643F4357"/>
    <w:rsid w:val="65637EF9"/>
    <w:rsid w:val="65650AA5"/>
    <w:rsid w:val="66FA2D19"/>
    <w:rsid w:val="68710765"/>
    <w:rsid w:val="6A36147E"/>
    <w:rsid w:val="6DDF3F40"/>
    <w:rsid w:val="6E2F1C89"/>
    <w:rsid w:val="71E75E42"/>
    <w:rsid w:val="745B159E"/>
    <w:rsid w:val="75236427"/>
    <w:rsid w:val="75266DCF"/>
    <w:rsid w:val="787D01F2"/>
    <w:rsid w:val="79E36D30"/>
    <w:rsid w:val="7B6C67C9"/>
    <w:rsid w:val="7C6A5EC3"/>
    <w:rsid w:val="7D021C2A"/>
    <w:rsid w:val="7D5E5A0C"/>
    <w:rsid w:val="7DD01E37"/>
    <w:rsid w:val="7E966668"/>
    <w:rsid w:val="7FBA3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Administrator</cp:lastModifiedBy>
  <cp:lastPrinted>2017-03-27T02:10:00Z</cp:lastPrinted>
  <dcterms:modified xsi:type="dcterms:W3CDTF">2024-03-01T04:01:28Z</dcterms:modified>
  <dc:title>中共沙河市委党校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