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2" w:name="_GoBack"/>
      <w:bookmarkEnd w:id="12"/>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4</w:t>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8</w:t>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一、沙河市住房和城乡建设局收支预算</w:t>
      </w:r>
      <w:r>
        <w:tab/>
      </w:r>
      <w:r>
        <w:rPr>
          <w:rFonts w:hint="eastAsia"/>
          <w:lang w:val="en-US" w:eastAsia="zh-CN"/>
        </w:rPr>
        <w:t>3</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left"/>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第一部</w:t>
      </w:r>
    </w:p>
    <w:tbl>
      <w:tblPr>
        <w:tblStyle w:val="8"/>
        <w:tblW w:w="127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4201"/>
        <w:gridCol w:w="1801"/>
        <w:gridCol w:w="4201"/>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2754" w:type="dxa"/>
            <w:gridSpan w:val="5"/>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752" w:type="dxa"/>
            <w:gridSpan w:val="3"/>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4201"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1801"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6002"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6002"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8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42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8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2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2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六、事业单位经营收入</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七、上级补助收入</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八、附属单位上缴收入</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4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分河</w:t>
      </w:r>
    </w:p>
    <w:tbl>
      <w:tblPr>
        <w:tblStyle w:val="8"/>
        <w:tblW w:w="14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810"/>
        <w:gridCol w:w="2956"/>
        <w:gridCol w:w="930"/>
        <w:gridCol w:w="930"/>
        <w:gridCol w:w="1110"/>
        <w:gridCol w:w="975"/>
        <w:gridCol w:w="975"/>
        <w:gridCol w:w="975"/>
        <w:gridCol w:w="975"/>
        <w:gridCol w:w="975"/>
        <w:gridCol w:w="97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311" w:type="dxa"/>
            <w:gridSpan w:val="13"/>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0411" w:type="dxa"/>
            <w:gridSpan w:val="9"/>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1950"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1950"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7890" w:type="dxa"/>
            <w:gridSpan w:val="8"/>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95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9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财政专户收入</w:t>
            </w:r>
          </w:p>
        </w:tc>
        <w:tc>
          <w:tcPr>
            <w:tcW w:w="9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9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9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9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9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1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95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2101199</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其他行政事业单位医疗支出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污染防治</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城乡社区管理事务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2120101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2129999</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保障性安居工程支出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2210103</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棚户区改造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2210107</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保障性住房租金补贴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2210108</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老旧小区改造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局2022年部</w:t>
      </w:r>
    </w:p>
    <w:tbl>
      <w:tblPr>
        <w:tblStyle w:val="8"/>
        <w:tblW w:w="144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1726"/>
        <w:gridCol w:w="3001"/>
        <w:gridCol w:w="1501"/>
        <w:gridCol w:w="1501"/>
        <w:gridCol w:w="1501"/>
        <w:gridCol w:w="1501"/>
        <w:gridCol w:w="1501"/>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4483" w:type="dxa"/>
            <w:gridSpan w:val="9"/>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479" w:type="dxa"/>
            <w:gridSpan w:val="5"/>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3002"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3002"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7"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1154.32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2101199</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其他行政事业单位医疗支出</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污染防治</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1044.61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城乡社区管理事务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1044.61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1044.61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2129999</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保障性安居工程支出</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2210103</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棚户区改造</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2210107</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保障性住房租金补贴</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老旧小区改造</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门预算</w:t>
      </w:r>
    </w:p>
    <w:tbl>
      <w:tblPr>
        <w:tblStyle w:val="8"/>
        <w:tblW w:w="131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2656"/>
        <w:gridCol w:w="885"/>
        <w:gridCol w:w="3901"/>
        <w:gridCol w:w="1035"/>
        <w:gridCol w:w="885"/>
        <w:gridCol w:w="1501"/>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3114" w:type="dxa"/>
            <w:gridSpan w:val="8"/>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8192" w:type="dxa"/>
            <w:gridSpan w:val="4"/>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1920"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3002"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541"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8823" w:type="dxa"/>
            <w:gridSpan w:val="5"/>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265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88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39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03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8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5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15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65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9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6" w:hRule="atLeast"/>
        </w:trPr>
        <w:tc>
          <w:tcPr>
            <w:tcW w:w="750" w:type="dxa"/>
            <w:shd w:val="clear" w:color="auto" w:fill="auto"/>
            <w:vAlign w:val="bottom"/>
          </w:tcPr>
          <w:p>
            <w:pPr>
              <w:rPr>
                <w:rFonts w:hint="eastAsia" w:ascii="宋体" w:hAnsi="宋体" w:eastAsia="宋体" w:cs="宋体"/>
                <w:i w:val="0"/>
                <w:color w:val="000000"/>
                <w:sz w:val="18"/>
                <w:szCs w:val="18"/>
                <w:u w:val="none"/>
              </w:rPr>
            </w:pPr>
          </w:p>
        </w:tc>
        <w:tc>
          <w:tcPr>
            <w:tcW w:w="2656" w:type="dxa"/>
            <w:shd w:val="clear" w:color="auto" w:fill="auto"/>
            <w:vAlign w:val="bottom"/>
          </w:tcPr>
          <w:p>
            <w:pPr>
              <w:rPr>
                <w:rFonts w:hint="eastAsia" w:ascii="宋体" w:hAnsi="宋体" w:eastAsia="宋体" w:cs="宋体"/>
                <w:i w:val="0"/>
                <w:color w:val="000000"/>
                <w:sz w:val="18"/>
                <w:szCs w:val="18"/>
                <w:u w:val="none"/>
              </w:rPr>
            </w:pPr>
          </w:p>
        </w:tc>
        <w:tc>
          <w:tcPr>
            <w:tcW w:w="885" w:type="dxa"/>
            <w:shd w:val="clear" w:color="auto" w:fill="auto"/>
            <w:vAlign w:val="bottom"/>
          </w:tcPr>
          <w:p>
            <w:pPr>
              <w:rPr>
                <w:rFonts w:hint="eastAsia" w:ascii="宋体" w:hAnsi="宋体" w:eastAsia="宋体" w:cs="宋体"/>
                <w:i w:val="0"/>
                <w:color w:val="000000"/>
                <w:sz w:val="18"/>
                <w:szCs w:val="18"/>
                <w:u w:val="none"/>
              </w:rPr>
            </w:pPr>
          </w:p>
        </w:tc>
        <w:tc>
          <w:tcPr>
            <w:tcW w:w="3901" w:type="dxa"/>
            <w:shd w:val="clear" w:color="auto" w:fill="auto"/>
            <w:vAlign w:val="bottom"/>
          </w:tcPr>
          <w:p>
            <w:pPr>
              <w:rPr>
                <w:rFonts w:hint="eastAsia" w:ascii="宋体" w:hAnsi="宋体" w:eastAsia="宋体" w:cs="宋体"/>
                <w:i w:val="0"/>
                <w:color w:val="000000"/>
                <w:sz w:val="18"/>
                <w:szCs w:val="18"/>
                <w:u w:val="none"/>
              </w:rPr>
            </w:pPr>
          </w:p>
        </w:tc>
        <w:tc>
          <w:tcPr>
            <w:tcW w:w="1035" w:type="dxa"/>
            <w:shd w:val="clear" w:color="auto" w:fill="auto"/>
            <w:vAlign w:val="bottom"/>
          </w:tcPr>
          <w:p>
            <w:pPr>
              <w:rPr>
                <w:rFonts w:hint="eastAsia" w:ascii="宋体" w:hAnsi="宋体" w:eastAsia="宋体" w:cs="宋体"/>
                <w:i w:val="0"/>
                <w:color w:val="000000"/>
                <w:sz w:val="18"/>
                <w:szCs w:val="18"/>
                <w:u w:val="none"/>
              </w:rPr>
            </w:pPr>
          </w:p>
        </w:tc>
        <w:tc>
          <w:tcPr>
            <w:tcW w:w="885" w:type="dxa"/>
            <w:shd w:val="clear" w:color="auto" w:fill="auto"/>
            <w:vAlign w:val="bottom"/>
          </w:tcPr>
          <w:p>
            <w:pPr>
              <w:rPr>
                <w:rFonts w:hint="eastAsia" w:ascii="宋体" w:hAnsi="宋体" w:eastAsia="宋体" w:cs="宋体"/>
                <w:i w:val="0"/>
                <w:color w:val="000000"/>
                <w:sz w:val="18"/>
                <w:szCs w:val="18"/>
                <w:u w:val="none"/>
              </w:rPr>
            </w:pPr>
          </w:p>
        </w:tc>
        <w:tc>
          <w:tcPr>
            <w:tcW w:w="1501" w:type="dxa"/>
            <w:shd w:val="clear" w:color="auto" w:fill="auto"/>
            <w:vAlign w:val="bottom"/>
          </w:tcPr>
          <w:p>
            <w:pPr>
              <w:rPr>
                <w:rFonts w:hint="eastAsia" w:ascii="宋体" w:hAnsi="宋体" w:eastAsia="宋体" w:cs="宋体"/>
                <w:i w:val="0"/>
                <w:color w:val="000000"/>
                <w:sz w:val="18"/>
                <w:szCs w:val="18"/>
                <w:u w:val="none"/>
              </w:rPr>
            </w:pPr>
          </w:p>
        </w:tc>
        <w:tc>
          <w:tcPr>
            <w:tcW w:w="1501" w:type="dxa"/>
            <w:shd w:val="clear" w:color="auto" w:fill="auto"/>
            <w:vAlign w:val="bottom"/>
          </w:tcPr>
          <w:p>
            <w:pPr>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tbl>
      <w:tblPr>
        <w:tblStyle w:val="8"/>
        <w:tblW w:w="138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1726"/>
        <w:gridCol w:w="3001"/>
        <w:gridCol w:w="2401"/>
        <w:gridCol w:w="1200"/>
        <w:gridCol w:w="1200"/>
        <w:gridCol w:w="1200"/>
        <w:gridCol w:w="2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3879" w:type="dxa"/>
            <w:gridSpan w:val="8"/>
            <w:shd w:val="clear" w:color="auto" w:fill="E4ECF7"/>
            <w:vAlign w:val="center"/>
          </w:tcPr>
          <w:p>
            <w:pPr>
              <w:jc w:val="left"/>
              <w:outlineLvl w:val="0"/>
              <w:rPr>
                <w:rFonts w:hint="eastAsia" w:ascii="宋体" w:hAnsi="宋体" w:eastAsia="宋体" w:cs="宋体"/>
                <w:b/>
                <w:i w:val="0"/>
                <w:color w:val="000000"/>
                <w:sz w:val="43"/>
                <w:szCs w:val="43"/>
                <w:u w:val="none"/>
              </w:rPr>
            </w:pPr>
            <w:r>
              <w:rPr>
                <w:rFonts w:ascii="方正书宋_GBK" w:hAnsi="方正书宋_GBK" w:eastAsia="方正书宋_GBK" w:cs="方正书宋_GBK"/>
                <w:color w:val="FFFFFF"/>
                <w:sz w:val="21"/>
              </w:rPr>
              <w:t>信息公</w:t>
            </w:r>
            <w:r>
              <w:rPr>
                <w:rFonts w:hint="eastAsia" w:ascii="宋体" w:hAnsi="宋体" w:eastAsia="宋体" w:cs="宋体"/>
                <w:b/>
                <w:i w:val="0"/>
                <w:color w:val="000000"/>
                <w:kern w:val="0"/>
                <w:sz w:val="43"/>
                <w:szCs w:val="43"/>
                <w:u w:val="none"/>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078" w:type="dxa"/>
            <w:gridSpan w:val="5"/>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2400"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2401"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7"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24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4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4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1122.24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2101199</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其他行政事业单位医疗支出</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污染防治</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1012.53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城乡社区管理事务</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1012.53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1012.53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2129999</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保障性安居工程支出</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2210103</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棚户区改造</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2210107</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保障性住房租金补贴</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老旧小区改造</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tbl>
      <w:tblPr>
        <w:tblStyle w:val="8"/>
        <w:tblW w:w="14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1726"/>
        <w:gridCol w:w="3001"/>
        <w:gridCol w:w="3001"/>
        <w:gridCol w:w="3001"/>
        <w:gridCol w:w="3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4480" w:type="dxa"/>
            <w:gridSpan w:val="6"/>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478" w:type="dxa"/>
            <w:gridSpan w:val="4"/>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3001"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3001"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7"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支出部门经济分类科目</w:t>
            </w:r>
          </w:p>
        </w:tc>
        <w:tc>
          <w:tcPr>
            <w:tcW w:w="9003" w:type="dxa"/>
            <w:gridSpan w:val="3"/>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1154.32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1122.24</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460.96</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460.96</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200.31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200.31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40.94</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40.94</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绩效工资</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城镇职工基本医疗保险缴费</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661.28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661.28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0.67</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0.67</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生活补助</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597.51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597.51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tbl>
      <w:tblPr>
        <w:tblStyle w:val="8"/>
        <w:tblW w:w="14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1726"/>
        <w:gridCol w:w="3001"/>
        <w:gridCol w:w="3001"/>
        <w:gridCol w:w="3001"/>
        <w:gridCol w:w="3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4480" w:type="dxa"/>
            <w:gridSpan w:val="6"/>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478" w:type="dxa"/>
            <w:gridSpan w:val="4"/>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3001"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3001"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7"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30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0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0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30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30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shd w:val="clear" w:color="auto" w:fill="auto"/>
            <w:vAlign w:val="bottom"/>
          </w:tcPr>
          <w:p>
            <w:pPr>
              <w:rPr>
                <w:rFonts w:hint="eastAsia" w:ascii="宋体" w:hAnsi="宋体" w:eastAsia="宋体" w:cs="宋体"/>
                <w:i w:val="0"/>
                <w:color w:val="000000"/>
                <w:sz w:val="18"/>
                <w:szCs w:val="18"/>
                <w:u w:val="none"/>
              </w:rPr>
            </w:pPr>
          </w:p>
        </w:tc>
        <w:tc>
          <w:tcPr>
            <w:tcW w:w="1726"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备注：我部门本年度无政府基金预算，空表列示。</w:t>
            </w:r>
          </w:p>
        </w:tc>
        <w:tc>
          <w:tcPr>
            <w:tcW w:w="3001" w:type="dxa"/>
            <w:shd w:val="clear" w:color="auto" w:fill="auto"/>
            <w:vAlign w:val="bottom"/>
          </w:tcPr>
          <w:p>
            <w:pPr>
              <w:rPr>
                <w:rFonts w:hint="eastAsia" w:ascii="宋体" w:hAnsi="宋体" w:eastAsia="宋体" w:cs="宋体"/>
                <w:i w:val="0"/>
                <w:color w:val="000000"/>
                <w:sz w:val="18"/>
                <w:szCs w:val="18"/>
                <w:u w:val="none"/>
              </w:rPr>
            </w:pPr>
          </w:p>
        </w:tc>
        <w:tc>
          <w:tcPr>
            <w:tcW w:w="3001" w:type="dxa"/>
            <w:shd w:val="clear" w:color="auto" w:fill="auto"/>
            <w:vAlign w:val="bottom"/>
          </w:tcPr>
          <w:p>
            <w:pPr>
              <w:rPr>
                <w:rFonts w:hint="eastAsia" w:ascii="宋体" w:hAnsi="宋体" w:eastAsia="宋体" w:cs="宋体"/>
                <w:i w:val="0"/>
                <w:color w:val="000000"/>
                <w:sz w:val="18"/>
                <w:szCs w:val="18"/>
                <w:u w:val="none"/>
              </w:rPr>
            </w:pPr>
          </w:p>
        </w:tc>
        <w:tc>
          <w:tcPr>
            <w:tcW w:w="3001" w:type="dxa"/>
            <w:shd w:val="clear" w:color="auto" w:fill="auto"/>
            <w:vAlign w:val="bottom"/>
          </w:tcPr>
          <w:p>
            <w:pPr>
              <w:rPr>
                <w:rFonts w:hint="eastAsia" w:ascii="宋体" w:hAnsi="宋体" w:eastAsia="宋体" w:cs="宋体"/>
                <w:i w:val="0"/>
                <w:color w:val="000000"/>
                <w:sz w:val="18"/>
                <w:szCs w:val="18"/>
                <w:u w:val="none"/>
              </w:rPr>
            </w:pPr>
          </w:p>
        </w:tc>
        <w:tc>
          <w:tcPr>
            <w:tcW w:w="3001" w:type="dxa"/>
            <w:shd w:val="clear" w:color="auto" w:fill="auto"/>
            <w:vAlign w:val="bottom"/>
          </w:tcPr>
          <w:p>
            <w:pPr>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tbl>
      <w:tblPr>
        <w:tblStyle w:val="8"/>
        <w:tblW w:w="14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1726"/>
        <w:gridCol w:w="3001"/>
        <w:gridCol w:w="3001"/>
        <w:gridCol w:w="3001"/>
        <w:gridCol w:w="3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480" w:type="dxa"/>
            <w:gridSpan w:val="6"/>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478" w:type="dxa"/>
            <w:gridSpan w:val="4"/>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3001"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3001"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7"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30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0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0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30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30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6"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0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shd w:val="clear" w:color="auto" w:fill="auto"/>
            <w:vAlign w:val="bottom"/>
          </w:tcPr>
          <w:p>
            <w:pPr>
              <w:rPr>
                <w:rFonts w:hint="eastAsia" w:ascii="宋体" w:hAnsi="宋体" w:eastAsia="宋体" w:cs="宋体"/>
                <w:i w:val="0"/>
                <w:color w:val="000000"/>
                <w:sz w:val="18"/>
                <w:szCs w:val="18"/>
                <w:u w:val="none"/>
              </w:rPr>
            </w:pPr>
          </w:p>
        </w:tc>
        <w:tc>
          <w:tcPr>
            <w:tcW w:w="1726"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备注：我部门本年度无国有资本经营预算，空表列示。</w:t>
            </w:r>
          </w:p>
        </w:tc>
        <w:tc>
          <w:tcPr>
            <w:tcW w:w="3001" w:type="dxa"/>
            <w:shd w:val="clear" w:color="auto" w:fill="auto"/>
            <w:vAlign w:val="bottom"/>
          </w:tcPr>
          <w:p>
            <w:pPr>
              <w:rPr>
                <w:rFonts w:hint="eastAsia" w:ascii="宋体" w:hAnsi="宋体" w:eastAsia="宋体" w:cs="宋体"/>
                <w:i w:val="0"/>
                <w:color w:val="000000"/>
                <w:sz w:val="18"/>
                <w:szCs w:val="18"/>
                <w:u w:val="none"/>
              </w:rPr>
            </w:pPr>
          </w:p>
        </w:tc>
        <w:tc>
          <w:tcPr>
            <w:tcW w:w="3001" w:type="dxa"/>
            <w:shd w:val="clear" w:color="auto" w:fill="auto"/>
            <w:vAlign w:val="bottom"/>
          </w:tcPr>
          <w:p>
            <w:pPr>
              <w:rPr>
                <w:rFonts w:hint="eastAsia" w:ascii="宋体" w:hAnsi="宋体" w:eastAsia="宋体" w:cs="宋体"/>
                <w:i w:val="0"/>
                <w:color w:val="000000"/>
                <w:sz w:val="18"/>
                <w:szCs w:val="18"/>
                <w:u w:val="none"/>
              </w:rPr>
            </w:pPr>
          </w:p>
        </w:tc>
        <w:tc>
          <w:tcPr>
            <w:tcW w:w="3001" w:type="dxa"/>
            <w:shd w:val="clear" w:color="auto" w:fill="auto"/>
            <w:vAlign w:val="bottom"/>
          </w:tcPr>
          <w:p>
            <w:pPr>
              <w:rPr>
                <w:rFonts w:hint="eastAsia" w:ascii="宋体" w:hAnsi="宋体" w:eastAsia="宋体" w:cs="宋体"/>
                <w:i w:val="0"/>
                <w:color w:val="000000"/>
                <w:sz w:val="18"/>
                <w:szCs w:val="18"/>
                <w:u w:val="none"/>
              </w:rPr>
            </w:pPr>
          </w:p>
        </w:tc>
        <w:tc>
          <w:tcPr>
            <w:tcW w:w="3001" w:type="dxa"/>
            <w:shd w:val="clear" w:color="auto" w:fill="auto"/>
            <w:vAlign w:val="bottom"/>
          </w:tcPr>
          <w:p>
            <w:pPr>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tbl>
      <w:tblPr>
        <w:tblStyle w:val="8"/>
        <w:tblW w:w="14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3901"/>
        <w:gridCol w:w="2401"/>
        <w:gridCol w:w="2401"/>
        <w:gridCol w:w="2401"/>
        <w:gridCol w:w="2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4255" w:type="dxa"/>
            <w:gridSpan w:val="6"/>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453" w:type="dxa"/>
            <w:gridSpan w:val="4"/>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2401"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2401"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901"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9604" w:type="dxa"/>
            <w:gridSpan w:val="4"/>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3901"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4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24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9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4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4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4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其中：教学科研人员因公出国（境）费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其他因公出国（境）费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四、会议费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五、培训费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50" w:type="dxa"/>
            <w:shd w:val="clear" w:color="auto" w:fill="auto"/>
            <w:vAlign w:val="bottom"/>
          </w:tcPr>
          <w:p>
            <w:pPr>
              <w:rPr>
                <w:rFonts w:hint="eastAsia" w:ascii="宋体" w:hAnsi="宋体" w:eastAsia="宋体" w:cs="宋体"/>
                <w:i w:val="0"/>
                <w:color w:val="000000"/>
                <w:sz w:val="18"/>
                <w:szCs w:val="18"/>
                <w:u w:val="none"/>
              </w:rPr>
            </w:pPr>
          </w:p>
        </w:tc>
        <w:tc>
          <w:tcPr>
            <w:tcW w:w="3901" w:type="dxa"/>
            <w:shd w:val="clear" w:color="auto" w:fill="auto"/>
            <w:vAlign w:val="bottom"/>
          </w:tcPr>
          <w:p>
            <w:pPr>
              <w:rPr>
                <w:rFonts w:hint="eastAsia" w:ascii="宋体" w:hAnsi="宋体" w:eastAsia="宋体" w:cs="宋体"/>
                <w:i w:val="0"/>
                <w:color w:val="000000"/>
                <w:sz w:val="18"/>
                <w:szCs w:val="18"/>
                <w:u w:val="none"/>
              </w:rPr>
            </w:pPr>
          </w:p>
        </w:tc>
        <w:tc>
          <w:tcPr>
            <w:tcW w:w="2401" w:type="dxa"/>
            <w:shd w:val="clear" w:color="auto" w:fill="auto"/>
            <w:vAlign w:val="bottom"/>
          </w:tcPr>
          <w:p>
            <w:pPr>
              <w:rPr>
                <w:rFonts w:hint="eastAsia" w:ascii="宋体" w:hAnsi="宋体" w:eastAsia="宋体" w:cs="宋体"/>
                <w:i w:val="0"/>
                <w:color w:val="000000"/>
                <w:sz w:val="18"/>
                <w:szCs w:val="18"/>
                <w:u w:val="none"/>
              </w:rPr>
            </w:pPr>
          </w:p>
        </w:tc>
        <w:tc>
          <w:tcPr>
            <w:tcW w:w="2401" w:type="dxa"/>
            <w:shd w:val="clear" w:color="auto" w:fill="auto"/>
            <w:vAlign w:val="bottom"/>
          </w:tcPr>
          <w:p>
            <w:pPr>
              <w:rPr>
                <w:rFonts w:hint="eastAsia" w:ascii="宋体" w:hAnsi="宋体" w:eastAsia="宋体" w:cs="宋体"/>
                <w:i w:val="0"/>
                <w:color w:val="000000"/>
                <w:sz w:val="18"/>
                <w:szCs w:val="18"/>
                <w:u w:val="none"/>
              </w:rPr>
            </w:pPr>
          </w:p>
        </w:tc>
        <w:tc>
          <w:tcPr>
            <w:tcW w:w="2401" w:type="dxa"/>
            <w:shd w:val="clear" w:color="auto" w:fill="auto"/>
            <w:vAlign w:val="bottom"/>
          </w:tcPr>
          <w:p>
            <w:pPr>
              <w:rPr>
                <w:rFonts w:hint="eastAsia" w:ascii="宋体" w:hAnsi="宋体" w:eastAsia="宋体" w:cs="宋体"/>
                <w:i w:val="0"/>
                <w:color w:val="000000"/>
                <w:sz w:val="18"/>
                <w:szCs w:val="18"/>
                <w:u w:val="none"/>
              </w:rPr>
            </w:pPr>
          </w:p>
        </w:tc>
        <w:tc>
          <w:tcPr>
            <w:tcW w:w="2401" w:type="dxa"/>
            <w:shd w:val="clear" w:color="auto" w:fill="auto"/>
            <w:vAlign w:val="bottom"/>
          </w:tcPr>
          <w:p>
            <w:pPr>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center"/>
      </w:pPr>
      <w:r>
        <w:rPr>
          <w:rFonts w:ascii="方正小标宋_GBK" w:hAnsi="方正小标宋_GBK" w:eastAsia="方正小标宋_GBK" w:cs="方正小标宋_GBK"/>
          <w:color w:val="000000"/>
          <w:sz w:val="44"/>
        </w:rPr>
        <w:t>沙河市住房和城乡建设局202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val="en-US" w:eastAsia="zh-CN"/>
        </w:rPr>
        <w:t>中华人民共和国</w:t>
      </w:r>
      <w:r>
        <w:rPr>
          <w:rFonts w:hint="eastAsia" w:ascii="仿宋" w:hAnsi="仿宋" w:eastAsia="仿宋" w:cs="仿宋"/>
          <w:color w:val="000000"/>
          <w:sz w:val="32"/>
          <w:szCs w:val="32"/>
        </w:rPr>
        <w:t>预算法》、《地方预决算公开操作规程》和《关于进一步推进预算公开工作的实施意见》规定，现将沙河市住房和城乡建设局202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年部门预算公开如下：</w:t>
      </w:r>
    </w:p>
    <w:p>
      <w:pPr>
        <w:numPr>
          <w:ilvl w:val="0"/>
          <w:numId w:val="1"/>
        </w:numPr>
        <w:spacing w:before="10" w:after="10" w:line="360" w:lineRule="auto"/>
        <w:ind w:firstLine="640"/>
        <w:outlineLvl w:val="2"/>
        <w:rPr>
          <w:rFonts w:hint="eastAsia" w:ascii="仿宋" w:hAnsi="仿宋" w:eastAsia="仿宋" w:cs="仿宋"/>
          <w:color w:val="000000"/>
          <w:sz w:val="32"/>
          <w:szCs w:val="32"/>
        </w:rPr>
      </w:pPr>
      <w:bookmarkStart w:id="0" w:name="_Toc_3_3_0000000010"/>
      <w:r>
        <w:rPr>
          <w:rFonts w:hint="eastAsia" w:ascii="仿宋" w:hAnsi="仿宋" w:eastAsia="仿宋" w:cs="仿宋"/>
          <w:color w:val="000000"/>
          <w:sz w:val="32"/>
          <w:szCs w:val="32"/>
        </w:rPr>
        <w:t>部门职责及机构设置情况</w:t>
      </w:r>
      <w:bookmarkEnd w:id="0"/>
    </w:p>
    <w:p>
      <w:pPr>
        <w:numPr>
          <w:ilvl w:val="0"/>
          <w:numId w:val="0"/>
        </w:numPr>
        <w:spacing w:before="10" w:after="10" w:line="360" w:lineRule="auto"/>
        <w:ind w:firstLine="643" w:firstLineChars="200"/>
        <w:outlineLvl w:val="2"/>
        <w:rPr>
          <w:rFonts w:hint="eastAsia" w:ascii="仿宋" w:hAnsi="仿宋" w:eastAsia="仿宋" w:cs="仿宋"/>
          <w:sz w:val="32"/>
          <w:szCs w:val="32"/>
        </w:rPr>
      </w:pPr>
      <w:r>
        <w:rPr>
          <w:rFonts w:hint="eastAsia" w:ascii="仿宋" w:hAnsi="仿宋" w:eastAsia="仿宋" w:cs="仿宋"/>
          <w:b/>
          <w:color w:val="000000"/>
          <w:sz w:val="32"/>
          <w:szCs w:val="32"/>
        </w:rPr>
        <w:t>部门职责：</w:t>
      </w:r>
    </w:p>
    <w:p>
      <w:pPr>
        <w:pStyle w:val="21"/>
        <w:rPr>
          <w:rFonts w:hint="eastAsia" w:ascii="仿宋" w:hAnsi="仿宋" w:eastAsia="仿宋" w:cs="仿宋"/>
          <w:sz w:val="32"/>
          <w:szCs w:val="32"/>
        </w:rPr>
      </w:pPr>
      <w:r>
        <w:rPr>
          <w:rFonts w:hint="eastAsia" w:ascii="仿宋" w:hAnsi="仿宋" w:eastAsia="仿宋" w:cs="仿宋"/>
          <w:sz w:val="32"/>
          <w:szCs w:val="32"/>
        </w:rPr>
        <w:t>贯彻执行国家、省和邢台市住房城乡建设工作的方针、政策和法律、法规。拟订住房城乡建设方面的政府规章草案；拟订全市住房城乡建设行业发展规划并组织实施；研究提出住房城乡建设重大问题的政策建议；负责住房城乡建设行业安全生产监管。</w:t>
      </w:r>
    </w:p>
    <w:p>
      <w:pPr>
        <w:pStyle w:val="21"/>
        <w:rPr>
          <w:rFonts w:hint="eastAsia" w:ascii="仿宋" w:hAnsi="仿宋" w:eastAsia="仿宋" w:cs="仿宋"/>
          <w:sz w:val="32"/>
          <w:szCs w:val="32"/>
        </w:rPr>
      </w:pPr>
      <w:r>
        <w:rPr>
          <w:rFonts w:hint="eastAsia" w:ascii="仿宋" w:hAnsi="仿宋" w:eastAsia="仿宋" w:cs="仿宋"/>
          <w:sz w:val="32"/>
          <w:szCs w:val="32"/>
        </w:rPr>
        <w:t>负责城镇低收入家庭住房保障。拟订城镇住房保障相关政策并指导实施；会同有关部门做好中央和省市城镇保障性安居工程资金安排并监督实施；组织编制、实施城镇住房保障发展规划和年度计划。</w:t>
      </w:r>
    </w:p>
    <w:p>
      <w:pPr>
        <w:pStyle w:val="21"/>
        <w:rPr>
          <w:rFonts w:hint="eastAsia" w:ascii="仿宋" w:hAnsi="仿宋" w:eastAsia="仿宋" w:cs="仿宋"/>
          <w:sz w:val="32"/>
          <w:szCs w:val="32"/>
        </w:rPr>
      </w:pPr>
      <w:r>
        <w:rPr>
          <w:rFonts w:hint="eastAsia" w:ascii="仿宋" w:hAnsi="仿宋" w:eastAsia="仿宋" w:cs="仿宋"/>
          <w:sz w:val="32"/>
          <w:szCs w:val="32"/>
        </w:rPr>
        <w:t>负责推进住房制度改革。拟订适合市情的住房政策，指导住房建设，推动住房制度改革；拟订住房建设发展规划并组织实施。</w:t>
      </w:r>
    </w:p>
    <w:p>
      <w:pPr>
        <w:pStyle w:val="21"/>
        <w:rPr>
          <w:rFonts w:hint="eastAsia" w:ascii="仿宋" w:hAnsi="仿宋" w:eastAsia="仿宋" w:cs="仿宋"/>
          <w:sz w:val="32"/>
          <w:szCs w:val="32"/>
        </w:rPr>
      </w:pPr>
      <w:r>
        <w:rPr>
          <w:rFonts w:hint="eastAsia" w:ascii="仿宋" w:hAnsi="仿宋" w:eastAsia="仿宋" w:cs="仿宋"/>
          <w:sz w:val="32"/>
          <w:szCs w:val="32"/>
        </w:rPr>
        <w:t>负责推行工程建设标准。组织实施工程建设实施阶段的国家和省、邢台市标准及国家和省、邢台市统一的行业标准；监督实施公共服务设施（不含通信设施）建设标准；指导工程建设标准和工程量计量规则的实施；收集、发布工程材料、人工、机械设备使用等市场价格信息。</w:t>
      </w:r>
    </w:p>
    <w:p>
      <w:pPr>
        <w:pStyle w:val="21"/>
        <w:rPr>
          <w:rFonts w:hint="eastAsia" w:ascii="仿宋" w:hAnsi="仿宋" w:eastAsia="仿宋" w:cs="仿宋"/>
          <w:sz w:val="32"/>
          <w:szCs w:val="32"/>
        </w:rPr>
      </w:pPr>
      <w:r>
        <w:rPr>
          <w:rFonts w:hint="eastAsia" w:ascii="仿宋" w:hAnsi="仿宋" w:eastAsia="仿宋" w:cs="仿宋"/>
          <w:sz w:val="32"/>
          <w:szCs w:val="32"/>
        </w:rPr>
        <w:t>负责房地产市场的监督管理。会同有关部门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pStyle w:val="21"/>
        <w:rPr>
          <w:rFonts w:hint="eastAsia" w:ascii="仿宋" w:hAnsi="仿宋" w:eastAsia="仿宋" w:cs="仿宋"/>
          <w:sz w:val="32"/>
          <w:szCs w:val="32"/>
        </w:rPr>
      </w:pPr>
      <w:r>
        <w:rPr>
          <w:rFonts w:hint="eastAsia" w:ascii="仿宋" w:hAnsi="仿宋" w:eastAsia="仿宋" w:cs="仿宋"/>
          <w:sz w:val="32"/>
          <w:szCs w:val="32"/>
        </w:rPr>
        <w:t>负责建筑市场的监督管理。负责国家规定必须招标的房屋建筑和市政基础设施工程招标投标活动的监督工作；拟订勘察设计、施工、建设监理的政府规章草案；制定规范建筑市场各方主体行为的规章制度并监督执行。</w:t>
      </w:r>
    </w:p>
    <w:p>
      <w:pPr>
        <w:pStyle w:val="21"/>
        <w:rPr>
          <w:rFonts w:hint="eastAsia" w:ascii="仿宋" w:hAnsi="仿宋" w:eastAsia="仿宋" w:cs="仿宋"/>
          <w:sz w:val="32"/>
          <w:szCs w:val="32"/>
        </w:rPr>
      </w:pPr>
      <w:r>
        <w:rPr>
          <w:rFonts w:hint="eastAsia" w:ascii="仿宋" w:hAnsi="仿宋" w:eastAsia="仿宋" w:cs="仿宋"/>
          <w:sz w:val="32"/>
          <w:szCs w:val="32"/>
        </w:rPr>
        <w:t>指导城乡建设工作。研究拟订城市建设政策、规章制度并指导实施;编制市级住房和城乡建设行业发展规划并组织实施；指导住房和城乡建设行业相关专业规划编制和实施；负责协助市政府统筹指导市政府投资的市政公用设施项目建设；会同有关部门负责历史文化名镇名村及传统村落的保护和监督管理工作。</w:t>
      </w:r>
    </w:p>
    <w:p>
      <w:pPr>
        <w:pStyle w:val="21"/>
        <w:rPr>
          <w:rFonts w:hint="eastAsia" w:ascii="仿宋" w:hAnsi="仿宋" w:eastAsia="仿宋" w:cs="仿宋"/>
          <w:sz w:val="32"/>
          <w:szCs w:val="32"/>
        </w:rPr>
      </w:pPr>
      <w:r>
        <w:rPr>
          <w:rFonts w:hint="eastAsia" w:ascii="仿宋" w:hAnsi="仿宋" w:eastAsia="仿宋" w:cs="仿宋"/>
          <w:sz w:val="32"/>
          <w:szCs w:val="32"/>
        </w:rPr>
        <w:t>拟订村镇建设政策并指导实施；指导乡村建筑风貌管控（建设方面）；指导农村住房建设和安全及危房改造；指导建制镇生活污水处理；指导重点镇和特色小城镇建设。</w:t>
      </w:r>
    </w:p>
    <w:p>
      <w:pPr>
        <w:pStyle w:val="21"/>
        <w:rPr>
          <w:rFonts w:hint="eastAsia" w:ascii="仿宋" w:hAnsi="仿宋" w:eastAsia="仿宋" w:cs="仿宋"/>
          <w:sz w:val="32"/>
          <w:szCs w:val="32"/>
        </w:rPr>
      </w:pPr>
      <w:r>
        <w:rPr>
          <w:rFonts w:hint="eastAsia" w:ascii="仿宋" w:hAnsi="仿宋" w:eastAsia="仿宋" w:cs="仿宋"/>
          <w:sz w:val="32"/>
          <w:szCs w:val="32"/>
        </w:rPr>
        <w:t>负责建筑工程质量安全监管。拟订建筑工程质量、施工安全和竣工验收备案的政策、规章制度并监督执行；组织或参与工程重大质量、安全事故的调查处理；拟订建筑业、工程勘察设计咨询业的技术政策并指导实施。负责建设工程消防设计审查工作。</w:t>
      </w:r>
    </w:p>
    <w:p>
      <w:pPr>
        <w:pStyle w:val="21"/>
        <w:rPr>
          <w:rFonts w:hint="eastAsia" w:ascii="仿宋" w:hAnsi="仿宋" w:eastAsia="仿宋" w:cs="仿宋"/>
          <w:sz w:val="32"/>
          <w:szCs w:val="32"/>
        </w:rPr>
      </w:pPr>
      <w:r>
        <w:rPr>
          <w:rFonts w:hint="eastAsia" w:ascii="仿宋" w:hAnsi="仿宋" w:eastAsia="仿宋" w:cs="仿宋"/>
          <w:sz w:val="32"/>
          <w:szCs w:val="32"/>
        </w:rPr>
        <w:t>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pStyle w:val="21"/>
        <w:rPr>
          <w:rFonts w:hint="eastAsia" w:ascii="仿宋" w:hAnsi="仿宋" w:eastAsia="仿宋" w:cs="仿宋"/>
          <w:sz w:val="32"/>
          <w:szCs w:val="32"/>
        </w:rPr>
      </w:pPr>
      <w:r>
        <w:rPr>
          <w:rFonts w:hint="eastAsia" w:ascii="仿宋" w:hAnsi="仿宋" w:eastAsia="仿宋" w:cs="仿宋"/>
          <w:sz w:val="32"/>
          <w:szCs w:val="32"/>
        </w:rPr>
        <w:t>负责行政执法监督。负责落实住房城乡建设系统行政执法的政策法规；开展住房城乡建设系统违法违规行为的监督与检查；组织查处应由市住房城乡建设局实施行政处罚的案件。</w:t>
      </w:r>
    </w:p>
    <w:p>
      <w:pPr>
        <w:pStyle w:val="21"/>
        <w:rPr>
          <w:rFonts w:hint="eastAsia" w:ascii="仿宋" w:hAnsi="仿宋" w:eastAsia="仿宋" w:cs="仿宋"/>
          <w:sz w:val="32"/>
          <w:szCs w:val="32"/>
        </w:rPr>
      </w:pPr>
      <w:r>
        <w:rPr>
          <w:rFonts w:hint="eastAsia" w:ascii="仿宋" w:hAnsi="仿宋" w:eastAsia="仿宋" w:cs="仿宋"/>
          <w:sz w:val="32"/>
          <w:szCs w:val="32"/>
        </w:rPr>
        <w:t>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jc w:val="center"/>
            </w:pPr>
            <w:r>
              <w:rPr>
                <w:rFonts w:hint="eastAsia"/>
                <w:lang w:eastAsia="zh-CN"/>
              </w:rPr>
              <w:t>部门</w:t>
            </w:r>
            <w:r>
              <w:t>名称</w:t>
            </w:r>
          </w:p>
        </w:tc>
        <w:tc>
          <w:tcPr>
            <w:tcW w:w="1843" w:type="dxa"/>
            <w:vAlign w:val="center"/>
          </w:tcPr>
          <w:p>
            <w:pPr>
              <w:pStyle w:val="14"/>
            </w:pPr>
            <w:r>
              <w:rPr>
                <w:rFonts w:hint="eastAsia"/>
                <w:lang w:eastAsia="zh-CN"/>
              </w:rPr>
              <w:t>部门</w:t>
            </w:r>
            <w:r>
              <w:t>性质</w:t>
            </w:r>
          </w:p>
        </w:tc>
        <w:tc>
          <w:tcPr>
            <w:tcW w:w="2126" w:type="dxa"/>
            <w:vAlign w:val="center"/>
          </w:tcPr>
          <w:p>
            <w:pPr>
              <w:pStyle w:val="14"/>
            </w:pPr>
            <w:r>
              <w:rPr>
                <w:rFonts w:hint="eastAsia"/>
                <w:lang w:eastAsia="zh-CN"/>
              </w:rPr>
              <w:t>部门</w:t>
            </w:r>
            <w:r>
              <w:t>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沙河市住房和城乡建设局</w:t>
            </w:r>
          </w:p>
        </w:tc>
        <w:tc>
          <w:tcPr>
            <w:tcW w:w="1843" w:type="dxa"/>
            <w:vAlign w:val="center"/>
          </w:tcPr>
          <w:p>
            <w:pPr>
              <w:pStyle w:val="17"/>
              <w:jc w:val="both"/>
              <w:rPr>
                <w:rFonts w:hint="eastAsia" w:eastAsia="方正书宋_GBK"/>
                <w:lang w:val="en-US" w:eastAsia="zh-CN"/>
              </w:rPr>
            </w:pPr>
            <w:r>
              <w:rPr>
                <w:rFonts w:hint="eastAsia"/>
                <w:lang w:val="en-US" w:eastAsia="zh-CN"/>
              </w:rP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rPr>
          <w:rFonts w:hint="eastAsia" w:ascii="仿宋" w:hAnsi="仿宋" w:eastAsia="仿宋" w:cs="仿宋"/>
          <w:sz w:val="32"/>
          <w:szCs w:val="32"/>
        </w:rPr>
      </w:pPr>
      <w:bookmarkStart w:id="1" w:name="_Toc_3_3_0000000011"/>
      <w:r>
        <w:rPr>
          <w:rFonts w:hint="eastAsia" w:ascii="仿宋" w:hAnsi="仿宋" w:eastAsia="仿宋" w:cs="仿宋"/>
          <w:color w:val="000000"/>
          <w:sz w:val="32"/>
          <w:szCs w:val="32"/>
        </w:rPr>
        <w:t>二、部门预算安排的总体情况</w:t>
      </w:r>
      <w:bookmarkEnd w:id="1"/>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按照预算管理有关规定，目前我省部门预算的编制实行综合预算管理，即全部收入和支出都反映在预算中。沙河市住房和城乡建设局机关及所属事业单位的收支包含在部门预算中。</w:t>
      </w:r>
    </w:p>
    <w:p>
      <w:pPr>
        <w:pStyle w:val="22"/>
        <w:rPr>
          <w:rFonts w:hint="eastAsia" w:ascii="仿宋" w:hAnsi="仿宋" w:eastAsia="仿宋" w:cs="仿宋"/>
          <w:sz w:val="32"/>
          <w:szCs w:val="32"/>
        </w:rPr>
      </w:pPr>
      <w:r>
        <w:rPr>
          <w:rFonts w:hint="eastAsia" w:ascii="仿宋" w:hAnsi="仿宋" w:eastAsia="仿宋" w:cs="仿宋"/>
          <w:sz w:val="32"/>
          <w:szCs w:val="32"/>
        </w:rPr>
        <w:t>1、收入说明</w:t>
      </w:r>
    </w:p>
    <w:p>
      <w:pPr>
        <w:pStyle w:val="22"/>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年本级安排预算收入</w:t>
      </w:r>
      <w:r>
        <w:rPr>
          <w:rFonts w:hint="eastAsia" w:ascii="仿宋" w:hAnsi="仿宋" w:eastAsia="仿宋" w:cs="仿宋"/>
          <w:sz w:val="32"/>
          <w:szCs w:val="32"/>
          <w:lang w:val="en-US" w:eastAsia="zh-CN"/>
        </w:rPr>
        <w:t>4704.32</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4704.32</w:t>
      </w:r>
      <w:r>
        <w:rPr>
          <w:rFonts w:hint="eastAsia" w:ascii="仿宋" w:hAnsi="仿宋" w:eastAsia="仿宋" w:cs="仿宋"/>
          <w:sz w:val="32"/>
          <w:szCs w:val="32"/>
        </w:rPr>
        <w:t>万元，基金预算拨款0万元。</w:t>
      </w:r>
    </w:p>
    <w:p>
      <w:pPr>
        <w:pStyle w:val="22"/>
        <w:rPr>
          <w:rFonts w:hint="eastAsia" w:ascii="仿宋" w:hAnsi="仿宋" w:eastAsia="仿宋" w:cs="仿宋"/>
          <w:sz w:val="32"/>
          <w:szCs w:val="32"/>
        </w:rPr>
      </w:pPr>
      <w:r>
        <w:rPr>
          <w:rFonts w:hint="eastAsia" w:ascii="仿宋" w:hAnsi="仿宋" w:eastAsia="仿宋" w:cs="仿宋"/>
          <w:sz w:val="32"/>
          <w:szCs w:val="32"/>
        </w:rPr>
        <w:t>2、支出说明</w:t>
      </w:r>
    </w:p>
    <w:p>
      <w:pPr>
        <w:pStyle w:val="22"/>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年本级支出预算</w:t>
      </w:r>
      <w:r>
        <w:rPr>
          <w:rFonts w:hint="eastAsia" w:ascii="仿宋" w:hAnsi="仿宋" w:eastAsia="仿宋" w:cs="仿宋"/>
          <w:sz w:val="32"/>
          <w:szCs w:val="32"/>
          <w:lang w:val="en-US" w:eastAsia="zh-CN"/>
        </w:rPr>
        <w:t>4704.32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1154.32</w:t>
      </w:r>
      <w:r>
        <w:rPr>
          <w:rFonts w:hint="eastAsia" w:ascii="仿宋" w:hAnsi="仿宋" w:eastAsia="仿宋" w:cs="仿宋"/>
          <w:sz w:val="32"/>
          <w:szCs w:val="32"/>
        </w:rPr>
        <w:t>万元，包括人员经费和日常公用经费；项目支出</w:t>
      </w:r>
      <w:r>
        <w:rPr>
          <w:rFonts w:hint="eastAsia" w:ascii="仿宋" w:hAnsi="仿宋" w:eastAsia="仿宋" w:cs="仿宋"/>
          <w:sz w:val="32"/>
          <w:szCs w:val="32"/>
          <w:lang w:val="en-US" w:eastAsia="zh-CN"/>
        </w:rPr>
        <w:t>3550</w:t>
      </w:r>
      <w:r>
        <w:rPr>
          <w:rFonts w:hint="eastAsia" w:ascii="仿宋" w:hAnsi="仿宋" w:eastAsia="仿宋" w:cs="仿宋"/>
          <w:sz w:val="32"/>
          <w:szCs w:val="32"/>
        </w:rPr>
        <w:t>万元，其中</w:t>
      </w:r>
      <w:r>
        <w:rPr>
          <w:rFonts w:hint="eastAsia" w:ascii="仿宋" w:hAnsi="仿宋" w:eastAsia="仿宋" w:cs="仿宋"/>
          <w:sz w:val="32"/>
          <w:szCs w:val="32"/>
          <w:lang w:eastAsia="zh-CN"/>
        </w:rPr>
        <w:t>城乡社区支出</w:t>
      </w:r>
      <w:r>
        <w:rPr>
          <w:rFonts w:hint="eastAsia" w:ascii="仿宋" w:hAnsi="仿宋" w:eastAsia="仿宋" w:cs="仿宋"/>
          <w:sz w:val="32"/>
          <w:szCs w:val="32"/>
          <w:lang w:val="en-US" w:eastAsia="zh-CN"/>
        </w:rPr>
        <w:t>50</w:t>
      </w:r>
      <w:r>
        <w:rPr>
          <w:rFonts w:hint="eastAsia" w:ascii="仿宋" w:hAnsi="仿宋" w:eastAsia="仿宋" w:cs="仿宋"/>
          <w:sz w:val="32"/>
          <w:szCs w:val="32"/>
        </w:rPr>
        <w:t>万元，</w:t>
      </w:r>
      <w:r>
        <w:rPr>
          <w:rFonts w:hint="eastAsia" w:ascii="仿宋" w:hAnsi="仿宋" w:eastAsia="仿宋" w:cs="仿宋"/>
          <w:sz w:val="32"/>
          <w:szCs w:val="32"/>
          <w:lang w:eastAsia="zh-CN"/>
        </w:rPr>
        <w:t>节能环保支出</w:t>
      </w:r>
      <w:r>
        <w:rPr>
          <w:rFonts w:hint="eastAsia" w:ascii="仿宋" w:hAnsi="仿宋" w:eastAsia="仿宋" w:cs="仿宋"/>
          <w:sz w:val="32"/>
          <w:szCs w:val="32"/>
          <w:lang w:val="en-US" w:eastAsia="zh-CN"/>
        </w:rPr>
        <w:t>3500</w:t>
      </w:r>
      <w:r>
        <w:rPr>
          <w:rFonts w:hint="eastAsia" w:ascii="仿宋" w:hAnsi="仿宋" w:eastAsia="仿宋" w:cs="仿宋"/>
          <w:sz w:val="32"/>
          <w:szCs w:val="32"/>
        </w:rPr>
        <w:t>万元。</w:t>
      </w:r>
    </w:p>
    <w:p>
      <w:pPr>
        <w:pStyle w:val="22"/>
        <w:rPr>
          <w:rFonts w:hint="eastAsia" w:ascii="仿宋" w:hAnsi="仿宋" w:eastAsia="仿宋" w:cs="仿宋"/>
          <w:sz w:val="32"/>
          <w:szCs w:val="32"/>
        </w:rPr>
      </w:pPr>
      <w:r>
        <w:rPr>
          <w:rFonts w:hint="eastAsia" w:ascii="仿宋" w:hAnsi="仿宋" w:eastAsia="仿宋" w:cs="仿宋"/>
          <w:sz w:val="32"/>
          <w:szCs w:val="32"/>
        </w:rPr>
        <w:t>3、比上年增减情况</w:t>
      </w:r>
    </w:p>
    <w:p>
      <w:pPr>
        <w:pStyle w:val="22"/>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4704.32</w:t>
      </w:r>
      <w:r>
        <w:rPr>
          <w:rFonts w:hint="eastAsia" w:ascii="仿宋" w:hAnsi="仿宋" w:eastAsia="仿宋" w:cs="仿宋"/>
          <w:sz w:val="32"/>
          <w:szCs w:val="32"/>
        </w:rPr>
        <w:t>万元，较202</w:t>
      </w:r>
      <w:r>
        <w:rPr>
          <w:rFonts w:hint="eastAsia" w:ascii="仿宋" w:hAnsi="仿宋" w:eastAsia="仿宋" w:cs="仿宋"/>
          <w:sz w:val="32"/>
          <w:szCs w:val="32"/>
          <w:lang w:val="en-US" w:eastAsia="zh-CN"/>
        </w:rPr>
        <w:t>0</w:t>
      </w:r>
      <w:r>
        <w:rPr>
          <w:rFonts w:hint="eastAsia" w:ascii="仿宋" w:hAnsi="仿宋" w:eastAsia="仿宋" w:cs="仿宋"/>
          <w:sz w:val="32"/>
          <w:szCs w:val="32"/>
        </w:rPr>
        <w:t>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4956.38</w:t>
      </w:r>
      <w:r>
        <w:rPr>
          <w:rFonts w:hint="eastAsia" w:ascii="仿宋" w:hAnsi="仿宋" w:eastAsia="仿宋" w:cs="仿宋"/>
          <w:sz w:val="32"/>
          <w:szCs w:val="32"/>
        </w:rPr>
        <w:t>万元，其中基本支出增加</w:t>
      </w:r>
      <w:r>
        <w:rPr>
          <w:rFonts w:hint="eastAsia" w:ascii="仿宋" w:hAnsi="仿宋" w:eastAsia="仿宋" w:cs="仿宋"/>
          <w:sz w:val="32"/>
          <w:szCs w:val="32"/>
          <w:lang w:val="en-US" w:eastAsia="zh-CN"/>
        </w:rPr>
        <w:t>571.19</w:t>
      </w:r>
      <w:r>
        <w:rPr>
          <w:rFonts w:hint="eastAsia" w:ascii="仿宋" w:hAnsi="仿宋" w:eastAsia="仿宋" w:cs="仿宋"/>
          <w:sz w:val="32"/>
          <w:szCs w:val="32"/>
        </w:rPr>
        <w:t>万元，项目支出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5527.57</w:t>
      </w:r>
      <w:r>
        <w:rPr>
          <w:rFonts w:hint="eastAsia" w:ascii="仿宋" w:hAnsi="仿宋" w:eastAsia="仿宋" w:cs="仿宋"/>
          <w:sz w:val="32"/>
          <w:szCs w:val="32"/>
        </w:rPr>
        <w:t>万元，总体</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4956.38</w:t>
      </w:r>
      <w:r>
        <w:rPr>
          <w:rFonts w:hint="eastAsia" w:ascii="仿宋" w:hAnsi="仿宋" w:eastAsia="仿宋" w:cs="仿宋"/>
          <w:sz w:val="32"/>
          <w:szCs w:val="32"/>
        </w:rPr>
        <w:t>万元，与2021年相比有所</w:t>
      </w:r>
      <w:r>
        <w:rPr>
          <w:rFonts w:hint="eastAsia" w:ascii="仿宋" w:hAnsi="仿宋" w:eastAsia="仿宋" w:cs="仿宋"/>
          <w:sz w:val="32"/>
          <w:szCs w:val="32"/>
          <w:lang w:eastAsia="zh-CN"/>
        </w:rPr>
        <w:t>减少</w:t>
      </w:r>
      <w:r>
        <w:rPr>
          <w:rFonts w:hint="eastAsia" w:ascii="仿宋" w:hAnsi="仿宋" w:eastAsia="仿宋" w:cs="仿宋"/>
          <w:sz w:val="32"/>
          <w:szCs w:val="32"/>
        </w:rPr>
        <w:t>，主要原因为项目调整。</w:t>
      </w:r>
    </w:p>
    <w:p>
      <w:pPr>
        <w:spacing w:before="10" w:after="10" w:line="360" w:lineRule="auto"/>
        <w:ind w:firstLine="640"/>
        <w:outlineLvl w:val="2"/>
        <w:rPr>
          <w:rFonts w:hint="eastAsia" w:ascii="仿宋" w:hAnsi="仿宋" w:eastAsia="仿宋" w:cs="仿宋"/>
          <w:sz w:val="32"/>
          <w:szCs w:val="32"/>
        </w:rPr>
      </w:pPr>
      <w:bookmarkStart w:id="2" w:name="_Toc_3_3_0000000012"/>
      <w:r>
        <w:rPr>
          <w:rFonts w:hint="eastAsia" w:ascii="仿宋" w:hAnsi="仿宋" w:eastAsia="仿宋" w:cs="仿宋"/>
          <w:color w:val="000000"/>
          <w:sz w:val="32"/>
          <w:szCs w:val="32"/>
        </w:rPr>
        <w:t>三、机关运行经费安排情况</w:t>
      </w:r>
      <w:bookmarkEnd w:id="2"/>
    </w:p>
    <w:p>
      <w:pPr>
        <w:pStyle w:val="23"/>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年沙河市住建局机关运行经费安排</w:t>
      </w:r>
      <w:r>
        <w:rPr>
          <w:rFonts w:hint="eastAsia" w:ascii="仿宋" w:hAnsi="仿宋" w:eastAsia="仿宋" w:cs="仿宋"/>
          <w:sz w:val="32"/>
          <w:szCs w:val="32"/>
          <w:lang w:val="en-US" w:eastAsia="zh-CN"/>
        </w:rPr>
        <w:t>32.08</w:t>
      </w:r>
      <w:r>
        <w:rPr>
          <w:rFonts w:hint="eastAsia" w:ascii="仿宋" w:hAnsi="仿宋" w:eastAsia="仿宋" w:cs="仿宋"/>
          <w:sz w:val="32"/>
          <w:szCs w:val="32"/>
        </w:rPr>
        <w:t>万元，主要用于机关正常运转、办公用房维修维护等日常运行支出。</w:t>
      </w:r>
    </w:p>
    <w:p>
      <w:pPr>
        <w:spacing w:before="10" w:after="10" w:line="360" w:lineRule="auto"/>
        <w:ind w:firstLine="640"/>
        <w:outlineLvl w:val="2"/>
        <w:rPr>
          <w:rFonts w:hint="eastAsia" w:ascii="仿宋" w:hAnsi="仿宋" w:eastAsia="仿宋" w:cs="仿宋"/>
          <w:sz w:val="32"/>
          <w:szCs w:val="32"/>
        </w:rPr>
      </w:pPr>
      <w:bookmarkStart w:id="3" w:name="_Toc_3_3_0000000013"/>
      <w:r>
        <w:rPr>
          <w:rFonts w:hint="eastAsia" w:ascii="仿宋" w:hAnsi="仿宋" w:eastAsia="仿宋" w:cs="仿宋"/>
          <w:color w:val="000000"/>
          <w:sz w:val="32"/>
          <w:szCs w:val="32"/>
        </w:rPr>
        <w:t>四、财政拨款“三公”经费预算情况及增减变化原因</w:t>
      </w:r>
      <w:bookmarkEnd w:id="3"/>
    </w:p>
    <w:p>
      <w:pPr>
        <w:pStyle w:val="24"/>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年，沙河市住建局“三公”经费预算安排</w:t>
      </w:r>
      <w:r>
        <w:rPr>
          <w:rFonts w:hint="eastAsia" w:ascii="仿宋" w:hAnsi="仿宋" w:eastAsia="仿宋" w:cs="仿宋"/>
          <w:sz w:val="32"/>
          <w:szCs w:val="32"/>
          <w:lang w:val="en-US" w:eastAsia="zh-CN"/>
        </w:rPr>
        <w:t>5</w:t>
      </w:r>
      <w:r>
        <w:rPr>
          <w:rFonts w:hint="eastAsia" w:ascii="仿宋" w:hAnsi="仿宋" w:eastAsia="仿宋" w:cs="仿宋"/>
          <w:sz w:val="32"/>
          <w:szCs w:val="32"/>
        </w:rPr>
        <w:t>.2万元，其中因公出国（境）费0元；公务用车购置及运维费</w:t>
      </w:r>
      <w:r>
        <w:rPr>
          <w:rFonts w:hint="eastAsia" w:ascii="仿宋" w:hAnsi="仿宋" w:eastAsia="仿宋" w:cs="仿宋"/>
          <w:sz w:val="32"/>
          <w:szCs w:val="32"/>
          <w:lang w:val="en-US" w:eastAsia="zh-CN"/>
        </w:rPr>
        <w:t>4</w:t>
      </w:r>
      <w:r>
        <w:rPr>
          <w:rFonts w:hint="eastAsia" w:ascii="仿宋" w:hAnsi="仿宋" w:eastAsia="仿宋" w:cs="仿宋"/>
          <w:sz w:val="32"/>
          <w:szCs w:val="32"/>
        </w:rPr>
        <w:t>万元（公务用车购置费0元，公务用车运维费</w:t>
      </w:r>
      <w:r>
        <w:rPr>
          <w:rFonts w:hint="eastAsia" w:ascii="仿宋" w:hAnsi="仿宋" w:eastAsia="仿宋" w:cs="仿宋"/>
          <w:sz w:val="32"/>
          <w:szCs w:val="32"/>
          <w:lang w:val="en-US" w:eastAsia="zh-CN"/>
        </w:rPr>
        <w:t>4</w:t>
      </w:r>
      <w:r>
        <w:rPr>
          <w:rFonts w:hint="eastAsia" w:ascii="仿宋" w:hAnsi="仿宋" w:eastAsia="仿宋" w:cs="仿宋"/>
          <w:sz w:val="32"/>
          <w:szCs w:val="32"/>
        </w:rPr>
        <w:t>万元）</w:t>
      </w:r>
      <w:r>
        <w:rPr>
          <w:rFonts w:hint="eastAsia" w:ascii="仿宋" w:hAnsi="仿宋" w:eastAsia="仿宋" w:cs="仿宋"/>
          <w:sz w:val="32"/>
          <w:szCs w:val="32"/>
          <w:lang w:eastAsia="zh-CN"/>
        </w:rPr>
        <w:t>，与202</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年相比持平</w:t>
      </w:r>
      <w:r>
        <w:rPr>
          <w:rFonts w:hint="eastAsia" w:ascii="仿宋" w:hAnsi="仿宋" w:eastAsia="仿宋" w:cs="仿宋"/>
          <w:sz w:val="32"/>
          <w:szCs w:val="32"/>
        </w:rPr>
        <w:t>；公务接待费1.2万元，与202</w:t>
      </w:r>
      <w:r>
        <w:rPr>
          <w:rFonts w:hint="eastAsia" w:ascii="仿宋" w:hAnsi="仿宋" w:eastAsia="仿宋" w:cs="仿宋"/>
          <w:sz w:val="32"/>
          <w:szCs w:val="32"/>
          <w:lang w:val="en-US" w:eastAsia="zh-CN"/>
        </w:rPr>
        <w:t>0</w:t>
      </w:r>
      <w:r>
        <w:rPr>
          <w:rFonts w:hint="eastAsia" w:ascii="仿宋" w:hAnsi="仿宋" w:eastAsia="仿宋" w:cs="仿宋"/>
          <w:sz w:val="32"/>
          <w:szCs w:val="32"/>
        </w:rPr>
        <w:t>年</w:t>
      </w:r>
      <w:r>
        <w:rPr>
          <w:rFonts w:hint="eastAsia" w:ascii="仿宋" w:hAnsi="仿宋" w:eastAsia="仿宋" w:cs="仿宋"/>
          <w:sz w:val="32"/>
          <w:szCs w:val="32"/>
          <w:lang w:eastAsia="zh-CN"/>
        </w:rPr>
        <w:t>相比持平</w:t>
      </w:r>
      <w:r>
        <w:rPr>
          <w:rFonts w:hint="eastAsia" w:ascii="仿宋" w:hAnsi="仿宋" w:eastAsia="仿宋" w:cs="仿宋"/>
          <w:sz w:val="32"/>
          <w:szCs w:val="32"/>
        </w:rPr>
        <w:t>。今后我部门将一如既往，积极贯彻落实上级有关规定，强化预算管理，严格控制“三公”经费支出。</w:t>
      </w:r>
    </w:p>
    <w:p>
      <w:pPr>
        <w:spacing w:before="10" w:after="10" w:line="360" w:lineRule="auto"/>
        <w:ind w:firstLine="640"/>
        <w:outlineLvl w:val="2"/>
        <w:rPr>
          <w:rFonts w:hint="eastAsia" w:ascii="仿宋" w:hAnsi="仿宋" w:eastAsia="仿宋" w:cs="仿宋"/>
          <w:sz w:val="32"/>
          <w:szCs w:val="32"/>
        </w:rPr>
      </w:pPr>
      <w:bookmarkStart w:id="4" w:name="_Toc_3_3_0000000014"/>
      <w:r>
        <w:rPr>
          <w:rFonts w:hint="eastAsia" w:ascii="仿宋" w:hAnsi="仿宋" w:eastAsia="仿宋" w:cs="仿宋"/>
          <w:color w:val="000000"/>
          <w:sz w:val="32"/>
          <w:szCs w:val="32"/>
        </w:rPr>
        <w:t>五、预算绩效信息</w:t>
      </w:r>
      <w:bookmarkEnd w:id="4"/>
    </w:p>
    <w:p>
      <w:pPr>
        <w:ind w:firstLine="640"/>
        <w:rPr>
          <w:rFonts w:hint="eastAsia" w:ascii="仿宋" w:hAnsi="仿宋" w:eastAsia="仿宋" w:cs="仿宋"/>
          <w:sz w:val="32"/>
          <w:szCs w:val="32"/>
        </w:rPr>
      </w:pPr>
      <w:r>
        <w:rPr>
          <w:rFonts w:hint="eastAsia" w:ascii="仿宋" w:hAnsi="仿宋" w:eastAsia="仿宋" w:cs="仿宋"/>
          <w:b/>
          <w:color w:val="000000"/>
          <w:sz w:val="32"/>
          <w:szCs w:val="32"/>
        </w:rPr>
        <w:t>第一部分 部门整体绩效目标</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（一）总体绩效目标</w:t>
      </w:r>
    </w:p>
    <w:p>
      <w:pPr>
        <w:pStyle w:val="25"/>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年，市住建局紧紧围绕市委、市政府中心工作，创新工作方式方法，充分利用预算资金，完成以下总体绩效目标：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一是加大违法违规预售</w:t>
      </w:r>
      <w:r>
        <w:rPr>
          <w:rFonts w:hint="eastAsia" w:ascii="仿宋" w:hAnsi="仿宋" w:eastAsia="仿宋" w:cs="仿宋"/>
          <w:sz w:val="32"/>
          <w:szCs w:val="32"/>
          <w:lang w:eastAsia="zh-CN"/>
        </w:rPr>
        <w:t>查</w:t>
      </w:r>
      <w:r>
        <w:rPr>
          <w:rFonts w:hint="eastAsia" w:ascii="仿宋" w:hAnsi="仿宋" w:eastAsia="仿宋" w:cs="仿宋"/>
          <w:sz w:val="32"/>
          <w:szCs w:val="32"/>
        </w:rPr>
        <w:t>处力度。二是严厉打击违规房地产中介机构。三是严格落实商品房网签备案制度。四是全面解决房地产遗留问题。规范健康有序，稳步推进建筑行业监督管理工作，实现精细化管理，建筑施工安全实现新常态，创新闭合式管理提升建筑工程质量监管水平，加强监管措施，切实改善建筑施工扬尘污染，全面解决住建领域农民工欠薪案件。保障改善民生各项重点工作顺利开展。落实责任，破解难题，全力以赴完成农村气代煤电代煤、农村危房改造、棚户区改造、老旧小区改造和城市路网工程。</w:t>
      </w:r>
    </w:p>
    <w:p>
      <w:pPr>
        <w:spacing w:line="500" w:lineRule="exact"/>
        <w:ind w:firstLine="640" w:firstLineChars="200"/>
        <w:jc w:val="left"/>
        <w:rPr>
          <w:rFonts w:hint="eastAsia" w:ascii="仿宋" w:hAnsi="仿宋" w:eastAsia="仿宋" w:cs="仿宋"/>
          <w:sz w:val="32"/>
          <w:szCs w:val="32"/>
        </w:rPr>
      </w:pP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（二）分项绩效目标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（一）计划打通6条断头路。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 打通6条断头路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绩效指标：完成数量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（二）计划改造老旧小区15个。</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绩效目标：完成改造老旧小区15个</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绩效指标：完成数量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（三）按时完成农村双代改造任务。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绩效目标：完成农村双代改造任务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绩效指标：完成程度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（四）按时完成农村危房改造工程。</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绩效目标：完成农村危房改造工程</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绩效指标：完成数量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（五）按时完成棚户区改造任务。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绩效目标：完成棚户区改造任务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绩效指标：完成数量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（六）完成农村厕所改造收尾工程。</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绩效目标：完成农村厕所改造收尾工程</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绩效指标：完成数量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（七）化解信访积案。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绩效目标：化解信访积案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绩效指标：化解数量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（八）增加监管领域巡</w:t>
      </w:r>
      <w:r>
        <w:rPr>
          <w:rFonts w:hint="eastAsia" w:ascii="仿宋" w:hAnsi="仿宋" w:eastAsia="仿宋" w:cs="仿宋"/>
          <w:sz w:val="32"/>
          <w:szCs w:val="32"/>
          <w:lang w:eastAsia="zh-CN"/>
        </w:rPr>
        <w:t>查</w:t>
      </w:r>
      <w:r>
        <w:rPr>
          <w:rFonts w:hint="eastAsia" w:ascii="仿宋" w:hAnsi="仿宋" w:eastAsia="仿宋" w:cs="仿宋"/>
          <w:sz w:val="32"/>
          <w:szCs w:val="32"/>
        </w:rPr>
        <w:t>频次。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绩效目标：增加监管领域巡</w:t>
      </w:r>
      <w:r>
        <w:rPr>
          <w:rFonts w:hint="eastAsia" w:ascii="仿宋" w:hAnsi="仿宋" w:eastAsia="仿宋" w:cs="仿宋"/>
          <w:sz w:val="32"/>
          <w:szCs w:val="32"/>
          <w:lang w:eastAsia="zh-CN"/>
        </w:rPr>
        <w:t>查</w:t>
      </w:r>
      <w:r>
        <w:rPr>
          <w:rFonts w:hint="eastAsia" w:ascii="仿宋" w:hAnsi="仿宋" w:eastAsia="仿宋" w:cs="仿宋"/>
          <w:sz w:val="32"/>
          <w:szCs w:val="32"/>
        </w:rPr>
        <w:t>频次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绩效指标：巡查次数</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（九）高效完成日常业务。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绩效目标：高效完成日常业务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绩效指标：完成业务量</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（三）工作保障措施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一、完善制度建设。制定完善预算绩效管理制度，细化资金管理办法，严格落实项目管理制度，为全年预算绩效目标的实现奠定制度基础。</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二、加强支出管理。优化支出结构，编细编实预算，加快履行政府采购手续，尽快启动项目，及时支付资金，按规定及时支付资金，确保支出进度达标，保障项目顺利实施。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三、加强绩效运行监控。完善内部控制制度，项目实施期间按要求开展绩效运行监控，做到监督到位，发现问题及时采取措施，确保绩效目标如期保质实现。</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四、做好绩效自评。按要求开展上年度部门预算绩效自评和重点评价工作，对评价中发现的问题及时整改，调整优化支出结构，提高财政资金使用效益。</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五、规范财务资产管理。完善财务管理制度，严格审批程序，提高资金使用效益，加强固定资产登记、使用和报废处置管理，做到支出合理，物尽其用。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加强内部监督。切实做好内部控制，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rPr>
          <w:rFonts w:hint="eastAsia" w:ascii="仿宋" w:hAnsi="仿宋" w:eastAsia="仿宋" w:cs="仿宋"/>
          <w:sz w:val="32"/>
          <w:szCs w:val="32"/>
        </w:rPr>
      </w:pPr>
      <w:r>
        <w:rPr>
          <w:rFonts w:hint="eastAsia" w:ascii="仿宋" w:hAnsi="仿宋" w:eastAsia="仿宋" w:cs="仿宋"/>
          <w:sz w:val="32"/>
          <w:szCs w:val="32"/>
        </w:rPr>
        <w:t>七、加强宣传培训调研等。不断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方正楷体_GBK" w:hAnsi="方正楷体_GBK" w:eastAsia="宋体"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eastAsia="宋体"/>
          <w:lang w:eastAsia="zh-CN"/>
        </w:rPr>
      </w:pPr>
    </w:p>
    <w:p>
      <w:pPr>
        <w:ind w:firstLine="640"/>
        <w:rPr>
          <w:rFonts w:hint="eastAsia" w:ascii="仿宋" w:hAnsi="仿宋" w:eastAsia="仿宋" w:cs="仿宋"/>
          <w:sz w:val="32"/>
          <w:szCs w:val="32"/>
          <w:lang w:eastAsia="zh-CN"/>
        </w:rPr>
        <w:sectPr>
          <w:pgSz w:w="16840" w:h="11900" w:orient="landscape"/>
          <w:pgMar w:top="1361" w:right="1020" w:bottom="1361" w:left="1020" w:header="720" w:footer="720" w:gutter="0"/>
          <w:cols w:space="720" w:num="1"/>
        </w:sectPr>
      </w:pPr>
      <w:r>
        <w:rPr>
          <w:rFonts w:hint="eastAsia" w:ascii="仿宋" w:hAnsi="仿宋" w:eastAsia="仿宋" w:cs="仿宋"/>
          <w:sz w:val="32"/>
          <w:szCs w:val="32"/>
          <w:lang w:eastAsia="zh-CN"/>
        </w:rPr>
        <w:t>无</w:t>
      </w:r>
    </w:p>
    <w:p>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ind w:firstLine="562" w:firstLineChars="200"/>
        <w:jc w:val="left"/>
        <w:outlineLvl w:val="3"/>
        <w:rPr>
          <w:rFonts w:hAnsi="宋体"/>
          <w:b/>
          <w:sz w:val="28"/>
        </w:rPr>
      </w:pPr>
      <w:bookmarkStart w:id="5" w:name="_Toc68781974"/>
      <w:r>
        <w:rPr>
          <w:rFonts w:hint="eastAsia" w:ascii="方正仿宋_GBK" w:eastAsia="方正仿宋_GBK"/>
          <w:b/>
          <w:sz w:val="28"/>
        </w:rPr>
        <w:t>1.住房和城乡建设监管经费绩效目标表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8、住房和城乡建设监管经费绩效目标表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177002沙河市住房和城乡建设局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13058221UK3KSL0CUEXRO</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住房和城乡建设监管经费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确保机关日常工作正常运转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hint="eastAsia" w:ascii="方正书宋_GBK" w:eastAsia="方正书宋_GBK"/>
              </w:rPr>
            </w:pPr>
            <w:r>
              <w:rPr>
                <w:rFonts w:hint="eastAsia" w:ascii="方正书宋_GBK" w:eastAsia="方正书宋_GBK"/>
              </w:rPr>
              <w:t>1.确保机关日常工作正常运转</w:t>
            </w:r>
          </w:p>
          <w:p>
            <w:pPr>
              <w:spacing w:line="300" w:lineRule="exact"/>
              <w:jc w:val="left"/>
              <w:rPr>
                <w:rFonts w:ascii="方正书宋_GBK" w:eastAsia="方正书宋_GBK"/>
              </w:rPr>
            </w:pPr>
            <w:r>
              <w:rPr>
                <w:rFonts w:hint="eastAsia" w:ascii="方正书宋_GBK" w:eastAsia="方正书宋_GBK"/>
              </w:rPr>
              <w:t>2.确保机关日常工作顺利开展</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预算执行数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预算执行额度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50万元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2021年度部门预算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机关日常工作正常运转保障率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≥95百分比</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2021年度部门预算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机关日常工作正常运转及时率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≥95百分比</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2021年度部门预算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厉行节约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≥95百分比</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2021年度部门预算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对社会贡献情况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≥98百分比</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2021年度部门预算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≥98百分比</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2021年度部门预算</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hAnsi="宋体"/>
          <w:b/>
          <w:sz w:val="28"/>
        </w:rPr>
      </w:pPr>
      <w:bookmarkStart w:id="6" w:name="_Toc68781975"/>
      <w:r>
        <w:rPr>
          <w:rFonts w:hint="eastAsia" w:ascii="方正仿宋_GBK" w:eastAsia="方正仿宋_GBK"/>
          <w:b/>
          <w:sz w:val="28"/>
        </w:rPr>
        <w:t>2.清洁取暖绩效目标表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9、清洁取暖绩效目标表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177002沙河市住房和城乡建设局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13058221XEG9MM27V77D6</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清洁取暖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35000000.00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35000000.00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用于农村清洁取暖，确保群众温暖过冬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hint="eastAsia" w:ascii="方正书宋_GBK" w:eastAsia="方正书宋_GBK"/>
              </w:rPr>
            </w:pPr>
            <w:r>
              <w:rPr>
                <w:rFonts w:hint="eastAsia" w:ascii="方正书宋_GBK" w:eastAsia="方正书宋_GBK"/>
              </w:rPr>
              <w:t>1.完成全市清洁取暖改造工作</w:t>
            </w:r>
          </w:p>
          <w:p>
            <w:pPr>
              <w:spacing w:line="300" w:lineRule="exact"/>
              <w:jc w:val="left"/>
              <w:rPr>
                <w:rFonts w:ascii="方正书宋_GBK" w:eastAsia="方正书宋_GBK"/>
              </w:rPr>
            </w:pPr>
            <w:r>
              <w:rPr>
                <w:rFonts w:hint="eastAsia" w:ascii="方正书宋_GBK" w:eastAsia="方正书宋_GBK"/>
              </w:rPr>
              <w:t>2.确保群众温暖过冬</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任务目标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完成年度任务情况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2020年沙河市冬季清洁取暖实施方案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p>
          <w:p>
            <w:pPr>
              <w:spacing w:line="300" w:lineRule="exact"/>
              <w:jc w:val="left"/>
              <w:rPr>
                <w:rFonts w:ascii="方正书宋_GBK" w:eastAsia="方正书宋_GBK"/>
              </w:rPr>
            </w:pP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2020年沙河市冬季清洁取暖实施方案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按期完成任务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按期完成任务情况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2020年沙河市冬季清洁取暖实施方案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总成本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成本使用率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2020年沙河市冬季清洁取暖实施方案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用户持续使用情况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用户持续使用率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≥90百分比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2020年沙河市冬季清洁取暖实施方案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≥95百分比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2020年沙河市冬季清洁取暖实施方案</w:t>
            </w:r>
          </w:p>
        </w:tc>
      </w:tr>
    </w:tbl>
    <w:p>
      <w:pPr>
        <w:spacing w:line="300" w:lineRule="exact"/>
        <w:jc w:val="left"/>
      </w:pPr>
    </w:p>
    <w:p>
      <w:pPr>
        <w:jc w:val="center"/>
        <w:rPr>
          <w:rFonts w:eastAsia="方正仿宋_GBK"/>
          <w:sz w:val="28"/>
        </w:rPr>
      </w:pP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spacing w:before="10" w:after="10"/>
        <w:ind w:firstLine="640"/>
        <w:outlineLvl w:val="2"/>
        <w:rPr>
          <w:rFonts w:hint="eastAsia" w:ascii="仿宋" w:hAnsi="仿宋" w:eastAsia="仿宋" w:cs="仿宋"/>
          <w:color w:val="auto"/>
          <w:sz w:val="32"/>
          <w:szCs w:val="32"/>
        </w:rPr>
      </w:pPr>
      <w:bookmarkStart w:id="7" w:name="_Toc_3_3_0000000015"/>
      <w:r>
        <w:rPr>
          <w:rFonts w:hint="eastAsia" w:ascii="仿宋" w:hAnsi="仿宋" w:eastAsia="仿宋" w:cs="仿宋"/>
          <w:color w:val="auto"/>
          <w:sz w:val="32"/>
          <w:szCs w:val="32"/>
        </w:rPr>
        <w:t>六、政府采购预算情况</w:t>
      </w:r>
      <w:bookmarkEnd w:id="7"/>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年，沙河市住房和城乡建设局安排政府采购预算0.00万元。具体内容见下表。</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ascii="仿宋" w:hAnsi="仿宋" w:eastAsia="仿宋" w:cs="仿宋"/>
                <w:color w:val="auto"/>
                <w:sz w:val="32"/>
                <w:szCs w:val="32"/>
              </w:rPr>
            </w:pPr>
            <w:r>
              <w:rPr>
                <w:rFonts w:hint="eastAsia" w:ascii="仿宋" w:hAnsi="仿宋" w:eastAsia="仿宋" w:cs="仿宋"/>
                <w:color w:val="auto"/>
                <w:sz w:val="32"/>
                <w:szCs w:val="32"/>
              </w:rPr>
              <w:t>177沙河市住房和城乡建设局</w:t>
            </w:r>
          </w:p>
        </w:tc>
        <w:tc>
          <w:tcPr>
            <w:tcW w:w="8676" w:type="dxa"/>
            <w:gridSpan w:val="9"/>
            <w:tcBorders>
              <w:top w:val="single" w:color="FFFFFF" w:sz="6" w:space="0"/>
              <w:left w:val="single" w:color="FFFFFF" w:sz="6" w:space="0"/>
              <w:right w:val="single" w:color="FFFFFF" w:sz="6" w:space="0"/>
            </w:tcBorders>
            <w:vAlign w:val="center"/>
          </w:tcPr>
          <w:p>
            <w:pPr>
              <w:pStyle w:val="28"/>
              <w:rPr>
                <w:rFonts w:hint="eastAsia" w:ascii="仿宋" w:hAnsi="仿宋" w:eastAsia="仿宋" w:cs="仿宋"/>
                <w:color w:val="auto"/>
                <w:sz w:val="32"/>
                <w:szCs w:val="32"/>
              </w:rPr>
            </w:pPr>
            <w:r>
              <w:rPr>
                <w:rFonts w:hint="eastAsia" w:ascii="仿宋" w:hAnsi="仿宋" w:eastAsia="仿宋" w:cs="仿宋"/>
                <w:color w:val="auto"/>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政府采购项目来源</w:t>
            </w:r>
          </w:p>
        </w:tc>
        <w:tc>
          <w:tcPr>
            <w:tcW w:w="1134" w:type="dxa"/>
            <w:vMerge w:val="restart"/>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采购物品名称</w:t>
            </w:r>
          </w:p>
        </w:tc>
        <w:tc>
          <w:tcPr>
            <w:tcW w:w="1134" w:type="dxa"/>
            <w:vMerge w:val="restart"/>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政府采购目录序号</w:t>
            </w:r>
          </w:p>
        </w:tc>
        <w:tc>
          <w:tcPr>
            <w:tcW w:w="709" w:type="dxa"/>
            <w:vMerge w:val="restart"/>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计量  单位</w:t>
            </w:r>
          </w:p>
        </w:tc>
        <w:tc>
          <w:tcPr>
            <w:tcW w:w="850" w:type="dxa"/>
            <w:vMerge w:val="restart"/>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数量</w:t>
            </w:r>
          </w:p>
        </w:tc>
        <w:tc>
          <w:tcPr>
            <w:tcW w:w="850" w:type="dxa"/>
            <w:vMerge w:val="restart"/>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单价</w:t>
            </w:r>
          </w:p>
        </w:tc>
        <w:tc>
          <w:tcPr>
            <w:tcW w:w="7712" w:type="dxa"/>
            <w:gridSpan w:val="8"/>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政府采购金额（当年部门预算安排资金）</w:t>
            </w:r>
          </w:p>
        </w:tc>
        <w:tc>
          <w:tcPr>
            <w:tcW w:w="964" w:type="dxa"/>
            <w:vMerge w:val="restart"/>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项目名称</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预算    资金</w:t>
            </w:r>
          </w:p>
        </w:tc>
        <w:tc>
          <w:tcPr>
            <w:tcW w:w="1134" w:type="dxa"/>
            <w:vMerge w:val="continue"/>
            <w:vAlign w:val="top"/>
          </w:tcPr>
          <w:p>
            <w:pPr>
              <w:rPr>
                <w:rFonts w:hint="eastAsia" w:ascii="仿宋" w:hAnsi="仿宋" w:eastAsia="仿宋" w:cs="仿宋"/>
                <w:color w:val="auto"/>
                <w:sz w:val="32"/>
                <w:szCs w:val="32"/>
              </w:rPr>
            </w:pPr>
          </w:p>
        </w:tc>
        <w:tc>
          <w:tcPr>
            <w:tcW w:w="1134" w:type="dxa"/>
            <w:vMerge w:val="continue"/>
            <w:vAlign w:val="top"/>
          </w:tcPr>
          <w:p>
            <w:pPr>
              <w:rPr>
                <w:rFonts w:hint="eastAsia" w:ascii="仿宋" w:hAnsi="仿宋" w:eastAsia="仿宋" w:cs="仿宋"/>
                <w:color w:val="auto"/>
                <w:sz w:val="32"/>
                <w:szCs w:val="32"/>
              </w:rPr>
            </w:pPr>
          </w:p>
        </w:tc>
        <w:tc>
          <w:tcPr>
            <w:tcW w:w="709" w:type="dxa"/>
            <w:vMerge w:val="continue"/>
            <w:vAlign w:val="top"/>
          </w:tcPr>
          <w:p>
            <w:pPr>
              <w:rPr>
                <w:rFonts w:hint="eastAsia" w:ascii="仿宋" w:hAnsi="仿宋" w:eastAsia="仿宋" w:cs="仿宋"/>
                <w:color w:val="auto"/>
                <w:sz w:val="32"/>
                <w:szCs w:val="32"/>
              </w:rPr>
            </w:pPr>
          </w:p>
        </w:tc>
        <w:tc>
          <w:tcPr>
            <w:tcW w:w="850" w:type="dxa"/>
            <w:vMerge w:val="continue"/>
            <w:vAlign w:val="top"/>
          </w:tcPr>
          <w:p>
            <w:pPr>
              <w:rPr>
                <w:rFonts w:hint="eastAsia" w:ascii="仿宋" w:hAnsi="仿宋" w:eastAsia="仿宋" w:cs="仿宋"/>
                <w:color w:val="auto"/>
                <w:sz w:val="32"/>
                <w:szCs w:val="32"/>
              </w:rPr>
            </w:pPr>
          </w:p>
        </w:tc>
        <w:tc>
          <w:tcPr>
            <w:tcW w:w="850" w:type="dxa"/>
            <w:vMerge w:val="continue"/>
            <w:vAlign w:val="top"/>
          </w:tcPr>
          <w:p>
            <w:pPr>
              <w:rPr>
                <w:rFonts w:hint="eastAsia" w:ascii="仿宋" w:hAnsi="仿宋" w:eastAsia="仿宋" w:cs="仿宋"/>
                <w:color w:val="auto"/>
                <w:sz w:val="32"/>
                <w:szCs w:val="32"/>
              </w:rPr>
            </w:pP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合计</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一般公共预算拨款</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基金预算拨款</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国有资本经营预算拨款</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财政专户核拨</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单位    资金</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财政拨    款结转</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非财政    拨款结    转结余</w:t>
            </w:r>
          </w:p>
        </w:tc>
        <w:tc>
          <w:tcPr>
            <w:tcW w:w="964" w:type="dxa"/>
            <w:vMerge w:val="continue"/>
            <w:vAlign w:val="top"/>
          </w:tcPr>
          <w:p>
            <w:pPr>
              <w:rPr>
                <w:rFonts w:hint="eastAsia" w:ascii="仿宋" w:hAnsi="仿宋" w:eastAsia="仿宋" w:cs="仿宋"/>
                <w:color w:val="auto"/>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1134" w:type="dxa"/>
            <w:vAlign w:val="center"/>
          </w:tcPr>
          <w:p>
            <w:pPr>
              <w:pStyle w:val="16"/>
              <w:rPr>
                <w:rFonts w:hint="eastAsia" w:ascii="仿宋" w:hAnsi="仿宋" w:eastAsia="仿宋" w:cs="仿宋"/>
                <w:color w:val="auto"/>
                <w:sz w:val="32"/>
                <w:szCs w:val="32"/>
              </w:rPr>
            </w:pPr>
          </w:p>
        </w:tc>
        <w:tc>
          <w:tcPr>
            <w:tcW w:w="1134" w:type="dxa"/>
            <w:vAlign w:val="center"/>
          </w:tcPr>
          <w:p>
            <w:pPr>
              <w:pStyle w:val="16"/>
              <w:rPr>
                <w:rFonts w:hint="eastAsia" w:ascii="仿宋" w:hAnsi="仿宋" w:eastAsia="仿宋" w:cs="仿宋"/>
                <w:color w:val="auto"/>
                <w:sz w:val="32"/>
                <w:szCs w:val="32"/>
              </w:rPr>
            </w:pPr>
          </w:p>
        </w:tc>
        <w:tc>
          <w:tcPr>
            <w:tcW w:w="709" w:type="dxa"/>
            <w:vAlign w:val="center"/>
          </w:tcPr>
          <w:p>
            <w:pPr>
              <w:pStyle w:val="17"/>
              <w:rPr>
                <w:rFonts w:hint="eastAsia" w:ascii="仿宋" w:hAnsi="仿宋" w:eastAsia="仿宋" w:cs="仿宋"/>
                <w:color w:val="auto"/>
                <w:sz w:val="32"/>
                <w:szCs w:val="32"/>
              </w:rPr>
            </w:pPr>
          </w:p>
        </w:tc>
        <w:tc>
          <w:tcPr>
            <w:tcW w:w="850" w:type="dxa"/>
            <w:vAlign w:val="center"/>
          </w:tcPr>
          <w:p>
            <w:pPr>
              <w:pStyle w:val="15"/>
              <w:rPr>
                <w:rFonts w:hint="eastAsia" w:ascii="仿宋" w:hAnsi="仿宋" w:eastAsia="仿宋" w:cs="仿宋"/>
                <w:color w:val="auto"/>
                <w:sz w:val="32"/>
                <w:szCs w:val="32"/>
              </w:rPr>
            </w:pPr>
          </w:p>
        </w:tc>
        <w:tc>
          <w:tcPr>
            <w:tcW w:w="850"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r>
    </w:tbl>
    <w:p>
      <w:pPr>
        <w:spacing w:line="500" w:lineRule="exact"/>
        <w:ind w:firstLine="420"/>
        <w:rPr>
          <w:rFonts w:hint="eastAsia" w:ascii="仿宋" w:hAnsi="仿宋" w:eastAsia="仿宋" w:cs="仿宋"/>
          <w:color w:val="auto"/>
          <w:sz w:val="32"/>
          <w:szCs w:val="32"/>
        </w:rPr>
      </w:pPr>
      <w:r>
        <w:rPr>
          <w:rFonts w:hint="eastAsia" w:ascii="仿宋" w:hAnsi="仿宋" w:eastAsia="仿宋" w:cs="仿宋"/>
          <w:color w:val="auto"/>
          <w:sz w:val="32"/>
          <w:szCs w:val="32"/>
        </w:rPr>
        <w:t>注：同一采购目录序号的物品，其单价会因配置规格不同而变动，均符合资产配置标准。涉密采购事项按照相关规定执行。</w:t>
      </w:r>
    </w:p>
    <w:p>
      <w:pPr>
        <w:ind w:firstLine="420"/>
        <w:rPr>
          <w:rFonts w:hint="eastAsia" w:ascii="仿宋" w:hAnsi="仿宋" w:eastAsia="仿宋" w:cs="仿宋"/>
          <w:color w:val="auto"/>
          <w:sz w:val="32"/>
          <w:szCs w:val="32"/>
        </w:rPr>
      </w:pPr>
      <w:r>
        <w:rPr>
          <w:rFonts w:hint="eastAsia" w:ascii="仿宋" w:hAnsi="仿宋" w:eastAsia="仿宋" w:cs="仿宋"/>
          <w:color w:val="auto"/>
          <w:sz w:val="32"/>
          <w:szCs w:val="32"/>
        </w:rPr>
        <w:t>注：无政府采购预算，空表列示。</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bookmarkStart w:id="8" w:name="_Toc_3_3_0000000016"/>
      <w:r>
        <w:rPr>
          <w:rFonts w:hint="eastAsia" w:ascii="仿宋" w:hAnsi="仿宋" w:eastAsia="仿宋" w:cs="仿宋"/>
          <w:color w:val="auto"/>
          <w:sz w:val="32"/>
          <w:szCs w:val="32"/>
        </w:rPr>
        <w:t>七、国有资产信息</w:t>
      </w:r>
      <w:bookmarkEnd w:id="8"/>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沙河市住房和城乡建设局（含所属单位）上年末固定资产金额为</w:t>
      </w:r>
      <w:r>
        <w:rPr>
          <w:rFonts w:hint="eastAsia" w:ascii="仿宋" w:hAnsi="仿宋" w:eastAsia="仿宋" w:cs="仿宋"/>
          <w:color w:val="auto"/>
          <w:sz w:val="32"/>
          <w:szCs w:val="32"/>
          <w:lang w:val="en-US" w:eastAsia="zh-CN"/>
        </w:rPr>
        <w:t>3367.78</w:t>
      </w:r>
      <w:r>
        <w:rPr>
          <w:rFonts w:hint="eastAsia" w:ascii="仿宋" w:hAnsi="仿宋" w:eastAsia="仿宋" w:cs="仿宋"/>
          <w:color w:val="auto"/>
          <w:sz w:val="32"/>
          <w:szCs w:val="32"/>
        </w:rPr>
        <w:t>万元（详见下表）。本年度拟购置固定资产总额为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万元，已按要求列入政府采购预算，详见政府采购预算表。</w:t>
      </w:r>
    </w:p>
    <w:p>
      <w:pPr>
        <w:jc w:val="cente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部门固定资产占用情况表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eastAsia" w:ascii="仿宋" w:hAnsi="仿宋" w:eastAsia="仿宋" w:cs="仿宋"/>
                <w:color w:val="auto"/>
                <w:sz w:val="32"/>
                <w:szCs w:val="32"/>
              </w:rPr>
            </w:pPr>
            <w:r>
              <w:rPr>
                <w:rFonts w:hint="eastAsia" w:ascii="仿宋" w:hAnsi="仿宋" w:eastAsia="仿宋" w:cs="仿宋"/>
                <w:color w:val="auto"/>
                <w:sz w:val="32"/>
                <w:szCs w:val="32"/>
              </w:rPr>
              <w:t>177沙河市住房和城乡建设局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11"/>
              <w:rPr>
                <w:rFonts w:hint="eastAsia" w:ascii="仿宋" w:hAnsi="仿宋" w:eastAsia="仿宋" w:cs="仿宋"/>
                <w:color w:val="auto"/>
                <w:sz w:val="32"/>
                <w:szCs w:val="32"/>
              </w:rPr>
            </w:pPr>
            <w:r>
              <w:rPr>
                <w:rFonts w:hint="eastAsia" w:ascii="仿宋" w:hAnsi="仿宋" w:eastAsia="仿宋" w:cs="仿宋"/>
                <w:color w:val="auto"/>
                <w:sz w:val="32"/>
                <w:szCs w:val="32"/>
              </w:rPr>
              <w:t>截止时间：202</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项   目</w:t>
            </w:r>
          </w:p>
        </w:tc>
        <w:tc>
          <w:tcPr>
            <w:tcW w:w="2835"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数量</w:t>
            </w:r>
          </w:p>
        </w:tc>
        <w:tc>
          <w:tcPr>
            <w:tcW w:w="2835"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color w:val="auto"/>
                <w:sz w:val="32"/>
                <w:szCs w:val="32"/>
              </w:rPr>
            </w:pPr>
            <w:r>
              <w:rPr>
                <w:rFonts w:hint="eastAsia" w:ascii="仿宋" w:hAnsi="仿宋" w:eastAsia="仿宋" w:cs="仿宋"/>
                <w:color w:val="auto"/>
                <w:sz w:val="32"/>
                <w:szCs w:val="32"/>
              </w:rPr>
              <w:t>资产总额</w:t>
            </w:r>
          </w:p>
        </w:tc>
        <w:tc>
          <w:tcPr>
            <w:tcW w:w="2835" w:type="dxa"/>
            <w:vAlign w:val="center"/>
          </w:tcPr>
          <w:p>
            <w:pPr>
              <w:pStyle w:val="17"/>
              <w:rPr>
                <w:rFonts w:hint="eastAsia" w:ascii="仿宋" w:hAnsi="仿宋" w:eastAsia="仿宋" w:cs="仿宋"/>
                <w:color w:val="auto"/>
                <w:sz w:val="32"/>
                <w:szCs w:val="32"/>
              </w:rPr>
            </w:pPr>
          </w:p>
        </w:tc>
        <w:tc>
          <w:tcPr>
            <w:tcW w:w="2835" w:type="dxa"/>
            <w:vAlign w:val="center"/>
          </w:tcPr>
          <w:p>
            <w:pPr>
              <w:pStyle w:val="15"/>
              <w:rPr>
                <w:rFonts w:hint="eastAsia" w:ascii="仿宋" w:hAnsi="仿宋" w:eastAsia="仿宋" w:cs="仿宋"/>
                <w:color w:val="auto"/>
                <w:sz w:val="32"/>
                <w:szCs w:val="32"/>
              </w:rPr>
            </w:pPr>
            <w:r>
              <w:rPr>
                <w:rFonts w:hint="eastAsia" w:ascii="仿宋" w:hAnsi="仿宋" w:eastAsia="仿宋" w:cs="仿宋"/>
                <w:color w:val="auto"/>
                <w:sz w:val="32"/>
                <w:szCs w:val="32"/>
              </w:rPr>
              <w:t>3386.13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color w:val="auto"/>
                <w:sz w:val="32"/>
                <w:szCs w:val="32"/>
              </w:rPr>
            </w:pPr>
            <w:r>
              <w:rPr>
                <w:rFonts w:hint="eastAsia" w:ascii="仿宋" w:hAnsi="仿宋" w:eastAsia="仿宋" w:cs="仿宋"/>
                <w:color w:val="auto"/>
                <w:sz w:val="32"/>
                <w:szCs w:val="32"/>
              </w:rPr>
              <w:t>1、房屋（平方米）</w:t>
            </w:r>
          </w:p>
        </w:tc>
        <w:tc>
          <w:tcPr>
            <w:tcW w:w="2835" w:type="dxa"/>
            <w:vAlign w:val="center"/>
          </w:tcPr>
          <w:p>
            <w:pPr>
              <w:pStyle w:val="17"/>
              <w:rPr>
                <w:rFonts w:hint="eastAsia" w:ascii="仿宋" w:hAnsi="仿宋" w:eastAsia="仿宋" w:cs="仿宋"/>
                <w:color w:val="auto"/>
                <w:sz w:val="32"/>
                <w:szCs w:val="32"/>
              </w:rPr>
            </w:pPr>
            <w:r>
              <w:rPr>
                <w:rFonts w:hint="eastAsia" w:ascii="仿宋" w:hAnsi="仿宋" w:eastAsia="仿宋" w:cs="仿宋"/>
                <w:color w:val="auto"/>
                <w:sz w:val="32"/>
                <w:szCs w:val="32"/>
              </w:rPr>
              <w:t>2896</w:t>
            </w:r>
          </w:p>
        </w:tc>
        <w:tc>
          <w:tcPr>
            <w:tcW w:w="2835" w:type="dxa"/>
            <w:vAlign w:val="center"/>
          </w:tcPr>
          <w:p>
            <w:pPr>
              <w:pStyle w:val="15"/>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color w:val="auto"/>
                <w:sz w:val="32"/>
                <w:szCs w:val="32"/>
              </w:rPr>
            </w:pPr>
            <w:r>
              <w:rPr>
                <w:rFonts w:hint="eastAsia" w:ascii="仿宋" w:hAnsi="仿宋" w:eastAsia="仿宋" w:cs="仿宋"/>
                <w:color w:val="auto"/>
                <w:sz w:val="32"/>
                <w:szCs w:val="32"/>
              </w:rPr>
              <w:t>　　其中：办公用房（平方米）</w:t>
            </w:r>
          </w:p>
        </w:tc>
        <w:tc>
          <w:tcPr>
            <w:tcW w:w="2835" w:type="dxa"/>
            <w:vAlign w:val="center"/>
          </w:tcPr>
          <w:p>
            <w:pPr>
              <w:pStyle w:val="17"/>
              <w:rPr>
                <w:rFonts w:hint="eastAsia" w:ascii="仿宋" w:hAnsi="仿宋" w:eastAsia="仿宋" w:cs="仿宋"/>
                <w:color w:val="auto"/>
                <w:sz w:val="32"/>
                <w:szCs w:val="32"/>
              </w:rPr>
            </w:pPr>
            <w:r>
              <w:rPr>
                <w:rFonts w:hint="eastAsia" w:ascii="仿宋" w:hAnsi="仿宋" w:eastAsia="仿宋" w:cs="仿宋"/>
                <w:color w:val="auto"/>
                <w:sz w:val="32"/>
                <w:szCs w:val="32"/>
              </w:rPr>
              <w:t>2896</w:t>
            </w:r>
          </w:p>
        </w:tc>
        <w:tc>
          <w:tcPr>
            <w:tcW w:w="2835" w:type="dxa"/>
            <w:vAlign w:val="center"/>
          </w:tcPr>
          <w:p>
            <w:pPr>
              <w:pStyle w:val="15"/>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color w:val="auto"/>
                <w:sz w:val="32"/>
                <w:szCs w:val="32"/>
              </w:rPr>
            </w:pPr>
            <w:r>
              <w:rPr>
                <w:rFonts w:hint="eastAsia" w:ascii="仿宋" w:hAnsi="仿宋" w:eastAsia="仿宋" w:cs="仿宋"/>
                <w:color w:val="auto"/>
                <w:sz w:val="32"/>
                <w:szCs w:val="32"/>
              </w:rPr>
              <w:t>2、车辆（台、辆）</w:t>
            </w:r>
          </w:p>
        </w:tc>
        <w:tc>
          <w:tcPr>
            <w:tcW w:w="2835" w:type="dxa"/>
            <w:vAlign w:val="center"/>
          </w:tcPr>
          <w:p>
            <w:pPr>
              <w:pStyle w:val="17"/>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2835" w:type="dxa"/>
            <w:vAlign w:val="center"/>
          </w:tcPr>
          <w:p>
            <w:pPr>
              <w:pStyle w:val="15"/>
              <w:rPr>
                <w:rFonts w:hint="eastAsia" w:ascii="仿宋" w:hAnsi="仿宋" w:eastAsia="仿宋" w:cs="仿宋"/>
                <w:color w:val="auto"/>
                <w:sz w:val="32"/>
                <w:szCs w:val="32"/>
              </w:rPr>
            </w:pPr>
            <w:r>
              <w:rPr>
                <w:rFonts w:hint="eastAsia" w:ascii="仿宋" w:hAnsi="仿宋" w:eastAsia="仿宋" w:cs="仿宋"/>
                <w:color w:val="auto"/>
                <w:sz w:val="32"/>
                <w:szCs w:val="32"/>
              </w:rPr>
              <w:t>60.83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color w:val="auto"/>
                <w:sz w:val="32"/>
                <w:szCs w:val="32"/>
              </w:rPr>
            </w:pPr>
            <w:r>
              <w:rPr>
                <w:rFonts w:hint="eastAsia" w:ascii="仿宋" w:hAnsi="仿宋" w:eastAsia="仿宋" w:cs="仿宋"/>
                <w:color w:val="auto"/>
                <w:sz w:val="32"/>
                <w:szCs w:val="32"/>
              </w:rPr>
              <w:t>3、单价在20万元以上的设备</w:t>
            </w:r>
          </w:p>
        </w:tc>
        <w:tc>
          <w:tcPr>
            <w:tcW w:w="2835" w:type="dxa"/>
            <w:vAlign w:val="center"/>
          </w:tcPr>
          <w:p>
            <w:pPr>
              <w:pStyle w:val="17"/>
              <w:rPr>
                <w:rFonts w:hint="eastAsia" w:ascii="仿宋" w:hAnsi="仿宋" w:eastAsia="仿宋" w:cs="仿宋"/>
                <w:color w:val="auto"/>
                <w:sz w:val="32"/>
                <w:szCs w:val="32"/>
              </w:rPr>
            </w:pPr>
          </w:p>
        </w:tc>
        <w:tc>
          <w:tcPr>
            <w:tcW w:w="2835" w:type="dxa"/>
            <w:vAlign w:val="center"/>
          </w:tcPr>
          <w:p>
            <w:pPr>
              <w:pStyle w:val="15"/>
              <w:rPr>
                <w:rFonts w:hint="eastAsia" w:ascii="仿宋" w:hAnsi="仿宋" w:eastAsia="仿宋" w:cs="仿宋"/>
                <w:color w:val="auto"/>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color w:val="auto"/>
                <w:sz w:val="32"/>
                <w:szCs w:val="32"/>
              </w:rPr>
            </w:pPr>
            <w:r>
              <w:rPr>
                <w:rFonts w:hint="eastAsia" w:ascii="仿宋" w:hAnsi="仿宋" w:eastAsia="仿宋" w:cs="仿宋"/>
                <w:color w:val="auto"/>
                <w:sz w:val="32"/>
                <w:szCs w:val="32"/>
              </w:rPr>
              <w:t>4、其他固定资产</w:t>
            </w:r>
          </w:p>
        </w:tc>
        <w:tc>
          <w:tcPr>
            <w:tcW w:w="2835" w:type="dxa"/>
            <w:vAlign w:val="center"/>
          </w:tcPr>
          <w:p>
            <w:pPr>
              <w:pStyle w:val="17"/>
              <w:rPr>
                <w:rFonts w:hint="eastAsia" w:ascii="仿宋" w:hAnsi="仿宋" w:eastAsia="仿宋" w:cs="仿宋"/>
                <w:color w:val="auto"/>
                <w:sz w:val="32"/>
                <w:szCs w:val="32"/>
              </w:rPr>
            </w:pPr>
            <w:r>
              <w:rPr>
                <w:rFonts w:hint="eastAsia" w:ascii="仿宋" w:hAnsi="仿宋" w:eastAsia="仿宋" w:cs="仿宋"/>
                <w:color w:val="auto"/>
                <w:sz w:val="32"/>
                <w:szCs w:val="32"/>
              </w:rPr>
              <w:t>351</w:t>
            </w:r>
          </w:p>
        </w:tc>
        <w:tc>
          <w:tcPr>
            <w:tcW w:w="2835" w:type="dxa"/>
            <w:vAlign w:val="center"/>
          </w:tcPr>
          <w:p>
            <w:pPr>
              <w:pStyle w:val="15"/>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177.14</w:t>
            </w:r>
          </w:p>
        </w:tc>
      </w:tr>
    </w:tbl>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spacing w:before="10" w:after="10"/>
        <w:ind w:firstLine="640"/>
        <w:outlineLvl w:val="2"/>
        <w:rPr>
          <w:rFonts w:hint="eastAsia" w:ascii="仿宋" w:hAnsi="仿宋" w:eastAsia="仿宋" w:cs="仿宋"/>
          <w:sz w:val="32"/>
          <w:szCs w:val="32"/>
        </w:rPr>
      </w:pPr>
      <w:bookmarkStart w:id="9" w:name="_Toc_3_3_0000000017"/>
      <w:r>
        <w:rPr>
          <w:rFonts w:hint="eastAsia" w:ascii="仿宋" w:hAnsi="仿宋" w:eastAsia="仿宋" w:cs="仿宋"/>
          <w:color w:val="000000"/>
          <w:sz w:val="32"/>
          <w:szCs w:val="32"/>
        </w:rPr>
        <w:t>八、名词解释</w:t>
      </w:r>
      <w:bookmarkEnd w:id="9"/>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before="10" w:after="10"/>
        <w:ind w:firstLine="640"/>
        <w:outlineLvl w:val="2"/>
        <w:rPr>
          <w:rFonts w:hint="eastAsia" w:ascii="仿宋" w:hAnsi="仿宋" w:eastAsia="仿宋" w:cs="仿宋"/>
          <w:sz w:val="32"/>
          <w:szCs w:val="32"/>
        </w:rPr>
      </w:pPr>
      <w:bookmarkStart w:id="10" w:name="_Toc_3_3_0000000018"/>
      <w:r>
        <w:rPr>
          <w:rFonts w:hint="eastAsia" w:ascii="仿宋" w:hAnsi="仿宋" w:eastAsia="仿宋" w:cs="仿宋"/>
          <w:color w:val="000000"/>
          <w:sz w:val="32"/>
          <w:szCs w:val="32"/>
        </w:rPr>
        <w:t>九、其他需要说明的事项</w:t>
      </w:r>
      <w:bookmarkEnd w:id="10"/>
    </w:p>
    <w:p>
      <w:pPr>
        <w:spacing w:line="500" w:lineRule="exact"/>
        <w:ind w:firstLine="560"/>
        <w:rPr>
          <w:rFonts w:hint="eastAsia" w:ascii="仿宋" w:hAnsi="仿宋" w:eastAsia="仿宋" w:cs="仿宋"/>
          <w:sz w:val="32"/>
          <w:szCs w:val="32"/>
        </w:rPr>
        <w:sectPr>
          <w:pgSz w:w="16840" w:h="11900" w:orient="landscape"/>
          <w:pgMar w:top="1361" w:right="1020" w:bottom="1134" w:left="1020" w:header="720" w:footer="720" w:gutter="0"/>
          <w:cols w:space="720" w:num="1"/>
        </w:sectPr>
      </w:pPr>
      <w:r>
        <w:rPr>
          <w:rFonts w:hint="eastAsia" w:ascii="仿宋" w:hAnsi="仿宋" w:eastAsia="仿宋" w:cs="仿宋"/>
          <w:color w:val="000000"/>
          <w:sz w:val="32"/>
          <w:szCs w:val="32"/>
        </w:rPr>
        <w:t>我部门无其他需要说明的事项。</w:t>
      </w: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1" w:name="_Toc_4_4_0000000019"/>
      <w:r>
        <w:rPr>
          <w:rFonts w:ascii="方正小标宋_GBK" w:hAnsi="方正小标宋_GBK" w:eastAsia="方正小标宋_GBK" w:cs="方正小标宋_GBK"/>
          <w:color w:val="000000"/>
          <w:sz w:val="44"/>
        </w:rPr>
        <w:t>一、沙河市住房和城乡建设局收支预算</w:t>
      </w:r>
      <w:bookmarkEnd w:id="11"/>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tbl>
      <w:tblPr>
        <w:tblStyle w:val="8"/>
        <w:tblW w:w="127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2"/>
        <w:gridCol w:w="3581"/>
        <w:gridCol w:w="3623"/>
        <w:gridCol w:w="3581"/>
        <w:gridCol w:w="1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2748" w:type="dxa"/>
            <w:gridSpan w:val="5"/>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866" w:type="dxa"/>
            <w:gridSpan w:val="3"/>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3581"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1301"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7204"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3623"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358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3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58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623"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六、事业单位经营收入</w:t>
            </w: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七、上级补助收入</w:t>
            </w: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八、附属单位上缴收入</w:t>
            </w: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3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分河</w:t>
      </w:r>
    </w:p>
    <w:tbl>
      <w:tblPr>
        <w:tblStyle w:val="8"/>
        <w:tblW w:w="143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810"/>
        <w:gridCol w:w="2956"/>
        <w:gridCol w:w="929"/>
        <w:gridCol w:w="929"/>
        <w:gridCol w:w="1110"/>
        <w:gridCol w:w="974"/>
        <w:gridCol w:w="974"/>
        <w:gridCol w:w="974"/>
        <w:gridCol w:w="974"/>
        <w:gridCol w:w="976"/>
        <w:gridCol w:w="974"/>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4303" w:type="dxa"/>
            <w:gridSpan w:val="13"/>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0406" w:type="dxa"/>
            <w:gridSpan w:val="9"/>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1950"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1947"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7885" w:type="dxa"/>
            <w:gridSpan w:val="8"/>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95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929"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97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财政专户收入</w:t>
            </w:r>
          </w:p>
        </w:tc>
        <w:tc>
          <w:tcPr>
            <w:tcW w:w="97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97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97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97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97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1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95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2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2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7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7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7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76"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73"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2101199</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其他行政事业单位医疗支出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污染防治</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城乡社区管理事务</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2120101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2129999</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保障性安居工程支出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2210103</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棚户区改造</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2210107</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保障性住房租金补贴</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2210108</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老旧小区改造</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局2022年部</w:t>
      </w:r>
    </w:p>
    <w:tbl>
      <w:tblPr>
        <w:tblStyle w:val="8"/>
        <w:tblW w:w="144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9"/>
        <w:gridCol w:w="1725"/>
        <w:gridCol w:w="2999"/>
        <w:gridCol w:w="1500"/>
        <w:gridCol w:w="1500"/>
        <w:gridCol w:w="1500"/>
        <w:gridCol w:w="1500"/>
        <w:gridCol w:w="1500"/>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4471" w:type="dxa"/>
            <w:gridSpan w:val="9"/>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473" w:type="dxa"/>
            <w:gridSpan w:val="5"/>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3000"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2998"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4"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99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99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1154.32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2101199</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其他行政事业单位医疗支出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污染防治</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1044.61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1044.61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2120101</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1044.61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2129999</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保障性安居工程支出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2210103</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棚户区改造</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2210107</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保障性住房租金补贴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2210108</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老旧小区改造</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门预算</w:t>
      </w:r>
    </w:p>
    <w:tbl>
      <w:tblPr>
        <w:tblStyle w:val="8"/>
        <w:tblW w:w="13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2344"/>
        <w:gridCol w:w="2379"/>
        <w:gridCol w:w="3418"/>
        <w:gridCol w:w="983"/>
        <w:gridCol w:w="984"/>
        <w:gridCol w:w="1323"/>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3105" w:type="dxa"/>
            <w:gridSpan w:val="8"/>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8816" w:type="dxa"/>
            <w:gridSpan w:val="4"/>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1967"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2322"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3"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7707" w:type="dxa"/>
            <w:gridSpan w:val="5"/>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237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3418"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983"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8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323"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99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34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418"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9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6" w:hRule="atLeast"/>
        </w:trPr>
        <w:tc>
          <w:tcPr>
            <w:tcW w:w="675" w:type="dxa"/>
            <w:shd w:val="clear" w:color="auto" w:fill="auto"/>
            <w:vAlign w:val="bottom"/>
          </w:tcPr>
          <w:p>
            <w:pPr>
              <w:rPr>
                <w:rFonts w:hint="eastAsia" w:ascii="宋体" w:hAnsi="宋体" w:eastAsia="宋体" w:cs="宋体"/>
                <w:i w:val="0"/>
                <w:color w:val="000000"/>
                <w:sz w:val="18"/>
                <w:szCs w:val="18"/>
                <w:u w:val="none"/>
              </w:rPr>
            </w:pPr>
          </w:p>
        </w:tc>
        <w:tc>
          <w:tcPr>
            <w:tcW w:w="2344" w:type="dxa"/>
            <w:shd w:val="clear" w:color="auto" w:fill="auto"/>
            <w:vAlign w:val="bottom"/>
          </w:tcPr>
          <w:p>
            <w:pPr>
              <w:rPr>
                <w:rFonts w:hint="eastAsia" w:ascii="宋体" w:hAnsi="宋体" w:eastAsia="宋体" w:cs="宋体"/>
                <w:i w:val="0"/>
                <w:color w:val="000000"/>
                <w:sz w:val="18"/>
                <w:szCs w:val="18"/>
                <w:u w:val="none"/>
              </w:rPr>
            </w:pPr>
          </w:p>
        </w:tc>
        <w:tc>
          <w:tcPr>
            <w:tcW w:w="2379" w:type="dxa"/>
            <w:shd w:val="clear" w:color="auto" w:fill="auto"/>
            <w:vAlign w:val="bottom"/>
          </w:tcPr>
          <w:p>
            <w:pPr>
              <w:rPr>
                <w:rFonts w:hint="eastAsia" w:ascii="宋体" w:hAnsi="宋体" w:eastAsia="宋体" w:cs="宋体"/>
                <w:i w:val="0"/>
                <w:color w:val="000000"/>
                <w:sz w:val="18"/>
                <w:szCs w:val="18"/>
                <w:u w:val="none"/>
              </w:rPr>
            </w:pPr>
          </w:p>
        </w:tc>
        <w:tc>
          <w:tcPr>
            <w:tcW w:w="3418" w:type="dxa"/>
            <w:shd w:val="clear" w:color="auto" w:fill="auto"/>
            <w:vAlign w:val="bottom"/>
          </w:tcPr>
          <w:p>
            <w:pPr>
              <w:rPr>
                <w:rFonts w:hint="eastAsia" w:ascii="宋体" w:hAnsi="宋体" w:eastAsia="宋体" w:cs="宋体"/>
                <w:i w:val="0"/>
                <w:color w:val="000000"/>
                <w:sz w:val="18"/>
                <w:szCs w:val="18"/>
                <w:u w:val="none"/>
              </w:rPr>
            </w:pPr>
          </w:p>
        </w:tc>
        <w:tc>
          <w:tcPr>
            <w:tcW w:w="983" w:type="dxa"/>
            <w:shd w:val="clear" w:color="auto" w:fill="auto"/>
            <w:vAlign w:val="bottom"/>
          </w:tcPr>
          <w:p>
            <w:pPr>
              <w:rPr>
                <w:rFonts w:hint="eastAsia" w:ascii="宋体" w:hAnsi="宋体" w:eastAsia="宋体" w:cs="宋体"/>
                <w:i w:val="0"/>
                <w:color w:val="000000"/>
                <w:sz w:val="18"/>
                <w:szCs w:val="18"/>
                <w:u w:val="none"/>
              </w:rPr>
            </w:pPr>
          </w:p>
        </w:tc>
        <w:tc>
          <w:tcPr>
            <w:tcW w:w="984" w:type="dxa"/>
            <w:shd w:val="clear" w:color="auto" w:fill="auto"/>
            <w:vAlign w:val="bottom"/>
          </w:tcPr>
          <w:p>
            <w:pPr>
              <w:rPr>
                <w:rFonts w:hint="eastAsia" w:ascii="宋体" w:hAnsi="宋体" w:eastAsia="宋体" w:cs="宋体"/>
                <w:i w:val="0"/>
                <w:color w:val="000000"/>
                <w:sz w:val="18"/>
                <w:szCs w:val="18"/>
                <w:u w:val="none"/>
              </w:rPr>
            </w:pPr>
          </w:p>
        </w:tc>
        <w:tc>
          <w:tcPr>
            <w:tcW w:w="1323" w:type="dxa"/>
            <w:shd w:val="clear" w:color="auto" w:fill="auto"/>
            <w:vAlign w:val="bottom"/>
          </w:tcPr>
          <w:p>
            <w:pPr>
              <w:rPr>
                <w:rFonts w:hint="eastAsia" w:ascii="宋体" w:hAnsi="宋体" w:eastAsia="宋体" w:cs="宋体"/>
                <w:i w:val="0"/>
                <w:color w:val="000000"/>
                <w:sz w:val="18"/>
                <w:szCs w:val="18"/>
                <w:u w:val="none"/>
              </w:rPr>
            </w:pPr>
          </w:p>
        </w:tc>
        <w:tc>
          <w:tcPr>
            <w:tcW w:w="999" w:type="dxa"/>
            <w:shd w:val="clear" w:color="auto" w:fill="auto"/>
            <w:vAlign w:val="bottom"/>
          </w:tcPr>
          <w:p>
            <w:pPr>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tbl>
      <w:tblPr>
        <w:tblStyle w:val="8"/>
        <w:tblW w:w="13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9"/>
        <w:gridCol w:w="1725"/>
        <w:gridCol w:w="3000"/>
        <w:gridCol w:w="2400"/>
        <w:gridCol w:w="1199"/>
        <w:gridCol w:w="1199"/>
        <w:gridCol w:w="1200"/>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3870" w:type="dxa"/>
            <w:gridSpan w:val="8"/>
            <w:shd w:val="clear" w:color="auto" w:fill="E4ECF7"/>
            <w:vAlign w:val="center"/>
          </w:tcPr>
          <w:p>
            <w:pPr>
              <w:jc w:val="left"/>
              <w:outlineLvl w:val="0"/>
              <w:rPr>
                <w:rFonts w:hint="eastAsia" w:ascii="宋体" w:hAnsi="宋体" w:eastAsia="宋体" w:cs="宋体"/>
                <w:b/>
                <w:i w:val="0"/>
                <w:color w:val="000000"/>
                <w:sz w:val="43"/>
                <w:szCs w:val="43"/>
                <w:u w:val="none"/>
              </w:rPr>
            </w:pPr>
            <w:r>
              <w:rPr>
                <w:rFonts w:ascii="方正书宋_GBK" w:hAnsi="方正书宋_GBK" w:eastAsia="方正书宋_GBK" w:cs="方正书宋_GBK"/>
                <w:color w:val="FFFFFF"/>
                <w:sz w:val="21"/>
              </w:rPr>
              <w:t>信息公</w:t>
            </w:r>
            <w:r>
              <w:rPr>
                <w:rFonts w:hint="eastAsia" w:ascii="宋体" w:hAnsi="宋体" w:eastAsia="宋体" w:cs="宋体"/>
                <w:b/>
                <w:i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073" w:type="dxa"/>
            <w:gridSpan w:val="5"/>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2399" w:type="dxa"/>
            <w:gridSpan w:val="2"/>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2398"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598" w:type="dxa"/>
            <w:gridSpan w:val="3"/>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398"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19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c>
          <w:tcPr>
            <w:tcW w:w="2398"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398"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4704.32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1122.24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其他行政事业单位医疗支出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节能环保支出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污染防治</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1012.53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城乡社区管理事务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1012.53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1094.61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1012.53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2129999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保障性安居工程支出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棚户区改造</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保障性住房租金补贴</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2210108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老旧小区改造</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tbl>
      <w:tblPr>
        <w:tblStyle w:val="8"/>
        <w:tblW w:w="144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9"/>
        <w:gridCol w:w="1725"/>
        <w:gridCol w:w="3000"/>
        <w:gridCol w:w="3000"/>
        <w:gridCol w:w="3000"/>
        <w:gridCol w:w="2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4471" w:type="dxa"/>
            <w:gridSpan w:val="6"/>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474" w:type="dxa"/>
            <w:gridSpan w:val="4"/>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3000"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2997"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支出单位经济分类科目</w:t>
            </w:r>
          </w:p>
        </w:tc>
        <w:tc>
          <w:tcPr>
            <w:tcW w:w="8997" w:type="dxa"/>
            <w:gridSpan w:val="3"/>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2997"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997"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1154.32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1122.24</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460.96</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200.31</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40.94</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绩效工资</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104.61</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62.69</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城镇职工基本医疗保险缴费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47.02</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0.61</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661.28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661.28</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0.67</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0.67</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生活补助</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61.22</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597.51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597.51</w:t>
            </w: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tbl>
      <w:tblPr>
        <w:tblStyle w:val="8"/>
        <w:tblW w:w="144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9"/>
        <w:gridCol w:w="1725"/>
        <w:gridCol w:w="3000"/>
        <w:gridCol w:w="3000"/>
        <w:gridCol w:w="3000"/>
        <w:gridCol w:w="2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4471" w:type="dxa"/>
            <w:gridSpan w:val="6"/>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474" w:type="dxa"/>
            <w:gridSpan w:val="4"/>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3000"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2997"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997"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2997"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997"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shd w:val="clear" w:color="auto" w:fill="auto"/>
            <w:vAlign w:val="bottom"/>
          </w:tcPr>
          <w:p>
            <w:pPr>
              <w:rPr>
                <w:rFonts w:hint="eastAsia" w:ascii="宋体" w:hAnsi="宋体" w:eastAsia="宋体" w:cs="宋体"/>
                <w:i w:val="0"/>
                <w:color w:val="000000"/>
                <w:sz w:val="18"/>
                <w:szCs w:val="18"/>
                <w:u w:val="none"/>
              </w:rPr>
            </w:pPr>
          </w:p>
        </w:tc>
        <w:tc>
          <w:tcPr>
            <w:tcW w:w="1725"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备注：我单位本年度无政府基金预算，空表列示。</w:t>
            </w:r>
          </w:p>
        </w:tc>
        <w:tc>
          <w:tcPr>
            <w:tcW w:w="3000" w:type="dxa"/>
            <w:shd w:val="clear" w:color="auto" w:fill="auto"/>
            <w:vAlign w:val="bottom"/>
          </w:tcPr>
          <w:p>
            <w:pPr>
              <w:rPr>
                <w:rFonts w:hint="eastAsia" w:ascii="宋体" w:hAnsi="宋体" w:eastAsia="宋体" w:cs="宋体"/>
                <w:i w:val="0"/>
                <w:color w:val="000000"/>
                <w:sz w:val="18"/>
                <w:szCs w:val="18"/>
                <w:u w:val="none"/>
              </w:rPr>
            </w:pPr>
          </w:p>
        </w:tc>
        <w:tc>
          <w:tcPr>
            <w:tcW w:w="3000" w:type="dxa"/>
            <w:shd w:val="clear" w:color="auto" w:fill="auto"/>
            <w:vAlign w:val="bottom"/>
          </w:tcPr>
          <w:p>
            <w:pPr>
              <w:rPr>
                <w:rFonts w:hint="eastAsia" w:ascii="宋体" w:hAnsi="宋体" w:eastAsia="宋体" w:cs="宋体"/>
                <w:i w:val="0"/>
                <w:color w:val="000000"/>
                <w:sz w:val="18"/>
                <w:szCs w:val="18"/>
                <w:u w:val="none"/>
              </w:rPr>
            </w:pPr>
          </w:p>
        </w:tc>
        <w:tc>
          <w:tcPr>
            <w:tcW w:w="3000" w:type="dxa"/>
            <w:shd w:val="clear" w:color="auto" w:fill="auto"/>
            <w:vAlign w:val="bottom"/>
          </w:tcPr>
          <w:p>
            <w:pPr>
              <w:rPr>
                <w:rFonts w:hint="eastAsia" w:ascii="宋体" w:hAnsi="宋体" w:eastAsia="宋体" w:cs="宋体"/>
                <w:i w:val="0"/>
                <w:color w:val="000000"/>
                <w:sz w:val="18"/>
                <w:szCs w:val="18"/>
                <w:u w:val="none"/>
              </w:rPr>
            </w:pPr>
          </w:p>
        </w:tc>
        <w:tc>
          <w:tcPr>
            <w:tcW w:w="2997" w:type="dxa"/>
            <w:shd w:val="clear" w:color="auto" w:fill="auto"/>
            <w:vAlign w:val="bottom"/>
          </w:tcPr>
          <w:p>
            <w:pPr>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tbl>
      <w:tblPr>
        <w:tblStyle w:val="8"/>
        <w:tblW w:w="144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9"/>
        <w:gridCol w:w="1725"/>
        <w:gridCol w:w="3000"/>
        <w:gridCol w:w="3000"/>
        <w:gridCol w:w="3000"/>
        <w:gridCol w:w="2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4471" w:type="dxa"/>
            <w:gridSpan w:val="6"/>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474" w:type="dxa"/>
            <w:gridSpan w:val="4"/>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3000"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2997"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997"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2997"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997"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shd w:val="clear" w:color="auto" w:fill="auto"/>
            <w:vAlign w:val="bottom"/>
          </w:tcPr>
          <w:p>
            <w:pPr>
              <w:rPr>
                <w:rFonts w:hint="eastAsia" w:ascii="宋体" w:hAnsi="宋体" w:eastAsia="宋体" w:cs="宋体"/>
                <w:i w:val="0"/>
                <w:color w:val="000000"/>
                <w:sz w:val="18"/>
                <w:szCs w:val="18"/>
                <w:u w:val="none"/>
              </w:rPr>
            </w:pPr>
          </w:p>
        </w:tc>
        <w:tc>
          <w:tcPr>
            <w:tcW w:w="1725" w:type="dxa"/>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备注：我单位本年度无国有资本经营预算，空表列示。</w:t>
            </w:r>
          </w:p>
        </w:tc>
        <w:tc>
          <w:tcPr>
            <w:tcW w:w="3000" w:type="dxa"/>
            <w:shd w:val="clear" w:color="auto" w:fill="auto"/>
            <w:vAlign w:val="bottom"/>
          </w:tcPr>
          <w:p>
            <w:pPr>
              <w:rPr>
                <w:rFonts w:hint="eastAsia" w:ascii="宋体" w:hAnsi="宋体" w:eastAsia="宋体" w:cs="宋体"/>
                <w:i w:val="0"/>
                <w:color w:val="000000"/>
                <w:sz w:val="18"/>
                <w:szCs w:val="18"/>
                <w:u w:val="none"/>
              </w:rPr>
            </w:pPr>
          </w:p>
        </w:tc>
        <w:tc>
          <w:tcPr>
            <w:tcW w:w="3000" w:type="dxa"/>
            <w:shd w:val="clear" w:color="auto" w:fill="auto"/>
            <w:vAlign w:val="bottom"/>
          </w:tcPr>
          <w:p>
            <w:pPr>
              <w:rPr>
                <w:rFonts w:hint="eastAsia" w:ascii="宋体" w:hAnsi="宋体" w:eastAsia="宋体" w:cs="宋体"/>
                <w:i w:val="0"/>
                <w:color w:val="000000"/>
                <w:sz w:val="18"/>
                <w:szCs w:val="18"/>
                <w:u w:val="none"/>
              </w:rPr>
            </w:pPr>
          </w:p>
        </w:tc>
        <w:tc>
          <w:tcPr>
            <w:tcW w:w="3000" w:type="dxa"/>
            <w:shd w:val="clear" w:color="auto" w:fill="auto"/>
            <w:vAlign w:val="bottom"/>
          </w:tcPr>
          <w:p>
            <w:pPr>
              <w:rPr>
                <w:rFonts w:hint="eastAsia" w:ascii="宋体" w:hAnsi="宋体" w:eastAsia="宋体" w:cs="宋体"/>
                <w:i w:val="0"/>
                <w:color w:val="000000"/>
                <w:sz w:val="18"/>
                <w:szCs w:val="18"/>
                <w:u w:val="none"/>
              </w:rPr>
            </w:pPr>
          </w:p>
        </w:tc>
        <w:tc>
          <w:tcPr>
            <w:tcW w:w="2997" w:type="dxa"/>
            <w:shd w:val="clear" w:color="auto" w:fill="auto"/>
            <w:vAlign w:val="bottom"/>
          </w:tcPr>
          <w:p>
            <w:pPr>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tbl>
      <w:tblPr>
        <w:tblStyle w:val="8"/>
        <w:tblW w:w="14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9"/>
        <w:gridCol w:w="3900"/>
        <w:gridCol w:w="2400"/>
        <w:gridCol w:w="2400"/>
        <w:gridCol w:w="2400"/>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4247" w:type="dxa"/>
            <w:gridSpan w:val="6"/>
            <w:shd w:val="clear" w:color="auto" w:fill="E4ECF7"/>
            <w:vAlign w:val="center"/>
          </w:tcPr>
          <w:p>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eastAsia="宋体" w:cs="宋体"/>
                <w:b/>
                <w:i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449" w:type="dxa"/>
            <w:gridSpan w:val="4"/>
            <w:shd w:val="clear" w:color="auto" w:fill="E4ECF7"/>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预算单位编码及名称：[177]沙河市住房和城乡建设局</w:t>
            </w:r>
          </w:p>
        </w:tc>
        <w:tc>
          <w:tcPr>
            <w:tcW w:w="2400"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2398" w:type="dxa"/>
            <w:shd w:val="clear" w:color="auto" w:fill="E4ECF7"/>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9598" w:type="dxa"/>
            <w:gridSpan w:val="4"/>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E4ECF7"/>
            <w:vAlign w:val="center"/>
          </w:tcPr>
          <w:p>
            <w:pPr>
              <w:jc w:val="center"/>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2398"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98" w:type="dxa"/>
            <w:tcBorders>
              <w:top w:val="single" w:color="000000" w:sz="4" w:space="0"/>
              <w:left w:val="single" w:color="000000" w:sz="4" w:space="0"/>
              <w:bottom w:val="single" w:color="000000" w:sz="4" w:space="0"/>
              <w:right w:val="single" w:color="000000" w:sz="4" w:space="0"/>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其中：教学科研人员因公出国（境）费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其他因公出国（境）费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四、会议费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五、培训费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49" w:type="dxa"/>
            <w:shd w:val="clear" w:color="auto" w:fill="auto"/>
            <w:vAlign w:val="bottom"/>
          </w:tcPr>
          <w:p>
            <w:pPr>
              <w:rPr>
                <w:rFonts w:hint="eastAsia" w:ascii="宋体" w:hAnsi="宋体" w:eastAsia="宋体" w:cs="宋体"/>
                <w:i w:val="0"/>
                <w:color w:val="000000"/>
                <w:sz w:val="18"/>
                <w:szCs w:val="18"/>
                <w:u w:val="none"/>
              </w:rPr>
            </w:pPr>
          </w:p>
        </w:tc>
        <w:tc>
          <w:tcPr>
            <w:tcW w:w="3900" w:type="dxa"/>
            <w:shd w:val="clear" w:color="auto" w:fill="auto"/>
            <w:vAlign w:val="bottom"/>
          </w:tcPr>
          <w:p>
            <w:pPr>
              <w:rPr>
                <w:rFonts w:hint="eastAsia" w:ascii="宋体" w:hAnsi="宋体" w:eastAsia="宋体" w:cs="宋体"/>
                <w:i w:val="0"/>
                <w:color w:val="000000"/>
                <w:sz w:val="18"/>
                <w:szCs w:val="18"/>
                <w:u w:val="none"/>
              </w:rPr>
            </w:pPr>
          </w:p>
        </w:tc>
        <w:tc>
          <w:tcPr>
            <w:tcW w:w="2400" w:type="dxa"/>
            <w:shd w:val="clear" w:color="auto" w:fill="auto"/>
            <w:vAlign w:val="bottom"/>
          </w:tcPr>
          <w:p>
            <w:pPr>
              <w:rPr>
                <w:rFonts w:hint="eastAsia" w:ascii="宋体" w:hAnsi="宋体" w:eastAsia="宋体" w:cs="宋体"/>
                <w:i w:val="0"/>
                <w:color w:val="000000"/>
                <w:sz w:val="18"/>
                <w:szCs w:val="18"/>
                <w:u w:val="none"/>
              </w:rPr>
            </w:pPr>
          </w:p>
        </w:tc>
        <w:tc>
          <w:tcPr>
            <w:tcW w:w="2400" w:type="dxa"/>
            <w:shd w:val="clear" w:color="auto" w:fill="auto"/>
            <w:vAlign w:val="bottom"/>
          </w:tcPr>
          <w:p>
            <w:pPr>
              <w:rPr>
                <w:rFonts w:hint="eastAsia" w:ascii="宋体" w:hAnsi="宋体" w:eastAsia="宋体" w:cs="宋体"/>
                <w:i w:val="0"/>
                <w:color w:val="000000"/>
                <w:sz w:val="18"/>
                <w:szCs w:val="18"/>
                <w:u w:val="none"/>
              </w:rPr>
            </w:pPr>
          </w:p>
        </w:tc>
        <w:tc>
          <w:tcPr>
            <w:tcW w:w="2400" w:type="dxa"/>
            <w:shd w:val="clear" w:color="auto" w:fill="auto"/>
            <w:vAlign w:val="bottom"/>
          </w:tcPr>
          <w:p>
            <w:pPr>
              <w:rPr>
                <w:rFonts w:hint="eastAsia" w:ascii="宋体" w:hAnsi="宋体" w:eastAsia="宋体" w:cs="宋体"/>
                <w:i w:val="0"/>
                <w:color w:val="000000"/>
                <w:sz w:val="18"/>
                <w:szCs w:val="18"/>
                <w:u w:val="none"/>
              </w:rPr>
            </w:pPr>
          </w:p>
        </w:tc>
        <w:tc>
          <w:tcPr>
            <w:tcW w:w="2398" w:type="dxa"/>
            <w:shd w:val="clear" w:color="auto" w:fill="auto"/>
            <w:vAlign w:val="bottom"/>
          </w:tcPr>
          <w:p>
            <w:pPr>
              <w:rPr>
                <w:rFonts w:hint="eastAsia" w:ascii="宋体" w:hAnsi="宋体" w:eastAsia="宋体" w:cs="宋体"/>
                <w:i w:val="0"/>
                <w:color w:val="000000"/>
                <w:sz w:val="18"/>
                <w:szCs w:val="18"/>
                <w:u w:val="none"/>
              </w:rPr>
            </w:pPr>
          </w:p>
        </w:tc>
      </w:tr>
    </w:tbl>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left"/>
        <w:outlineLvl w:val="0"/>
        <w:rPr>
          <w:rFonts w:ascii="方正书宋_GBK" w:hAnsi="方正书宋_GBK" w:eastAsia="方正书宋_GBK" w:cs="方正书宋_GBK"/>
          <w:color w:val="FFFFFF"/>
          <w:sz w:val="21"/>
        </w:rPr>
      </w:pPr>
    </w:p>
    <w:p>
      <w:pPr>
        <w:jc w:val="center"/>
      </w:pPr>
      <w:r>
        <w:rPr>
          <w:rFonts w:ascii="方正小标宋_GBK" w:hAnsi="方正小标宋_GBK" w:eastAsia="方正小标宋_GBK" w:cs="方正小标宋_GBK"/>
          <w:color w:val="000000"/>
          <w:sz w:val="44"/>
        </w:rPr>
        <w:t>沙河市住房和城乡建设局202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val="en-US" w:eastAsia="zh-CN"/>
        </w:rPr>
        <w:t>中华人民共和国</w:t>
      </w:r>
      <w:r>
        <w:rPr>
          <w:rFonts w:hint="eastAsia" w:ascii="仿宋" w:hAnsi="仿宋" w:eastAsia="仿宋" w:cs="仿宋"/>
          <w:color w:val="000000"/>
          <w:sz w:val="32"/>
          <w:szCs w:val="32"/>
        </w:rPr>
        <w:t>预算法》、《地方预决算公开操作规程》和《关于进一步推进预算公开工作的实施意见》规定，现将沙河市住房和城乡建设局202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预算公开如下：</w:t>
      </w:r>
    </w:p>
    <w:p>
      <w:pPr>
        <w:numPr>
          <w:ilvl w:val="0"/>
          <w:numId w:val="1"/>
        </w:numPr>
        <w:spacing w:before="10" w:after="10" w:line="360" w:lineRule="auto"/>
        <w:ind w:firstLine="640"/>
        <w:outlineLvl w:val="2"/>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职责及机构设置情况</w:t>
      </w:r>
    </w:p>
    <w:p>
      <w:pPr>
        <w:numPr>
          <w:ilvl w:val="0"/>
          <w:numId w:val="0"/>
        </w:numPr>
        <w:spacing w:before="10" w:after="10" w:line="360" w:lineRule="auto"/>
        <w:ind w:firstLine="643" w:firstLineChars="200"/>
        <w:outlineLvl w:val="2"/>
        <w:rPr>
          <w:rFonts w:hint="eastAsia" w:ascii="仿宋" w:hAnsi="仿宋" w:eastAsia="仿宋" w:cs="仿宋"/>
          <w:sz w:val="32"/>
          <w:szCs w:val="32"/>
        </w:rPr>
      </w:pPr>
      <w:r>
        <w:rPr>
          <w:rFonts w:hint="eastAsia" w:ascii="仿宋" w:hAnsi="仿宋" w:eastAsia="仿宋" w:cs="仿宋"/>
          <w:b/>
          <w:color w:val="000000"/>
          <w:sz w:val="32"/>
          <w:szCs w:val="32"/>
          <w:lang w:eastAsia="zh-CN"/>
        </w:rPr>
        <w:t>单位</w:t>
      </w:r>
      <w:r>
        <w:rPr>
          <w:rFonts w:hint="eastAsia" w:ascii="仿宋" w:hAnsi="仿宋" w:eastAsia="仿宋" w:cs="仿宋"/>
          <w:b/>
          <w:color w:val="000000"/>
          <w:sz w:val="32"/>
          <w:szCs w:val="32"/>
        </w:rPr>
        <w:t>职责：</w:t>
      </w:r>
    </w:p>
    <w:p>
      <w:pPr>
        <w:pStyle w:val="21"/>
        <w:rPr>
          <w:rFonts w:hint="eastAsia" w:ascii="仿宋" w:hAnsi="仿宋" w:eastAsia="仿宋" w:cs="仿宋"/>
          <w:sz w:val="32"/>
          <w:szCs w:val="32"/>
        </w:rPr>
      </w:pPr>
      <w:r>
        <w:rPr>
          <w:rFonts w:hint="eastAsia" w:ascii="仿宋" w:hAnsi="仿宋" w:eastAsia="仿宋" w:cs="仿宋"/>
          <w:sz w:val="32"/>
          <w:szCs w:val="32"/>
        </w:rPr>
        <w:t>贯彻执行国家、省和邢台市住房城乡建设工作的方针、政策和法律、法规。拟订住房城乡建设方面的政府规章草案；拟订全市住房城乡建设行业发展规划并组织实施；研究提出住房城乡建设重大问题的政策建议；负责住房城乡建设行业安全生产监管。</w:t>
      </w:r>
    </w:p>
    <w:p>
      <w:pPr>
        <w:pStyle w:val="21"/>
        <w:rPr>
          <w:rFonts w:hint="eastAsia" w:ascii="仿宋" w:hAnsi="仿宋" w:eastAsia="仿宋" w:cs="仿宋"/>
          <w:sz w:val="32"/>
          <w:szCs w:val="32"/>
        </w:rPr>
      </w:pPr>
      <w:r>
        <w:rPr>
          <w:rFonts w:hint="eastAsia" w:ascii="仿宋" w:hAnsi="仿宋" w:eastAsia="仿宋" w:cs="仿宋"/>
          <w:sz w:val="32"/>
          <w:szCs w:val="32"/>
        </w:rPr>
        <w:t>负责城镇低收入家庭住房保障。拟订城镇住房保障相关政策并指导实施；会同有关</w:t>
      </w:r>
      <w:r>
        <w:rPr>
          <w:rFonts w:hint="eastAsia" w:ascii="仿宋" w:hAnsi="仿宋" w:eastAsia="仿宋" w:cs="仿宋"/>
          <w:sz w:val="32"/>
          <w:szCs w:val="32"/>
          <w:lang w:eastAsia="zh-CN"/>
        </w:rPr>
        <w:t>单位</w:t>
      </w:r>
      <w:r>
        <w:rPr>
          <w:rFonts w:hint="eastAsia" w:ascii="仿宋" w:hAnsi="仿宋" w:eastAsia="仿宋" w:cs="仿宋"/>
          <w:sz w:val="32"/>
          <w:szCs w:val="32"/>
        </w:rPr>
        <w:t>做好中央和省市城镇保障性安居工程资金安排并监督实施；组织编制、实施城镇住房保障发展规划和年度计划。</w:t>
      </w:r>
    </w:p>
    <w:p>
      <w:pPr>
        <w:pStyle w:val="21"/>
        <w:rPr>
          <w:rFonts w:hint="eastAsia" w:ascii="仿宋" w:hAnsi="仿宋" w:eastAsia="仿宋" w:cs="仿宋"/>
          <w:sz w:val="32"/>
          <w:szCs w:val="32"/>
        </w:rPr>
      </w:pPr>
      <w:r>
        <w:rPr>
          <w:rFonts w:hint="eastAsia" w:ascii="仿宋" w:hAnsi="仿宋" w:eastAsia="仿宋" w:cs="仿宋"/>
          <w:sz w:val="32"/>
          <w:szCs w:val="32"/>
        </w:rPr>
        <w:t>负责推进住房制度改革。拟订适合市情的住房政策，指导住房建设，推动住房制度改革；拟订住房建设发展规划并组织实施。</w:t>
      </w:r>
    </w:p>
    <w:p>
      <w:pPr>
        <w:pStyle w:val="21"/>
        <w:rPr>
          <w:rFonts w:hint="eastAsia" w:ascii="仿宋" w:hAnsi="仿宋" w:eastAsia="仿宋" w:cs="仿宋"/>
          <w:sz w:val="32"/>
          <w:szCs w:val="32"/>
        </w:rPr>
      </w:pPr>
      <w:r>
        <w:rPr>
          <w:rFonts w:hint="eastAsia" w:ascii="仿宋" w:hAnsi="仿宋" w:eastAsia="仿宋" w:cs="仿宋"/>
          <w:sz w:val="32"/>
          <w:szCs w:val="32"/>
        </w:rPr>
        <w:t>负责推行工程建设标准。组织实施工程建设实施阶段的国家和省、邢台市标准及国家和省、邢台市统一的行业标准；监督实施公共服务设施（不含通信设施）建设标准；指导工程建设标准和工程量计量规则的实施；收集、发布工程材料、人工、机械设备使用等市场价格信息。</w:t>
      </w:r>
    </w:p>
    <w:p>
      <w:pPr>
        <w:pStyle w:val="21"/>
        <w:rPr>
          <w:rFonts w:hint="eastAsia" w:ascii="仿宋" w:hAnsi="仿宋" w:eastAsia="仿宋" w:cs="仿宋"/>
          <w:sz w:val="32"/>
          <w:szCs w:val="32"/>
        </w:rPr>
      </w:pPr>
      <w:r>
        <w:rPr>
          <w:rFonts w:hint="eastAsia" w:ascii="仿宋" w:hAnsi="仿宋" w:eastAsia="仿宋" w:cs="仿宋"/>
          <w:sz w:val="32"/>
          <w:szCs w:val="32"/>
        </w:rPr>
        <w:t>负责房地产市场的监督管理。会同有关</w:t>
      </w:r>
      <w:r>
        <w:rPr>
          <w:rFonts w:hint="eastAsia" w:ascii="仿宋" w:hAnsi="仿宋" w:eastAsia="仿宋" w:cs="仿宋"/>
          <w:sz w:val="32"/>
          <w:szCs w:val="32"/>
          <w:lang w:eastAsia="zh-CN"/>
        </w:rPr>
        <w:t>单位</w:t>
      </w:r>
      <w:r>
        <w:rPr>
          <w:rFonts w:hint="eastAsia" w:ascii="仿宋" w:hAnsi="仿宋" w:eastAsia="仿宋" w:cs="仿宋"/>
          <w:sz w:val="32"/>
          <w:szCs w:val="32"/>
        </w:rPr>
        <w:t>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pStyle w:val="21"/>
        <w:rPr>
          <w:rFonts w:hint="eastAsia" w:ascii="仿宋" w:hAnsi="仿宋" w:eastAsia="仿宋" w:cs="仿宋"/>
          <w:sz w:val="32"/>
          <w:szCs w:val="32"/>
        </w:rPr>
      </w:pPr>
      <w:r>
        <w:rPr>
          <w:rFonts w:hint="eastAsia" w:ascii="仿宋" w:hAnsi="仿宋" w:eastAsia="仿宋" w:cs="仿宋"/>
          <w:sz w:val="32"/>
          <w:szCs w:val="32"/>
        </w:rPr>
        <w:t>负责建筑市场的监督管理。负责国家规定必须招标的房屋建筑和市政基础设施工程招标投标活动的监督工作；拟订勘察设计、施工、建设监理的政府规章草案；制定规范建筑市场各方主体行为的规章制度并监督执行。</w:t>
      </w:r>
    </w:p>
    <w:p>
      <w:pPr>
        <w:pStyle w:val="21"/>
        <w:rPr>
          <w:rFonts w:hint="eastAsia" w:ascii="仿宋" w:hAnsi="仿宋" w:eastAsia="仿宋" w:cs="仿宋"/>
          <w:sz w:val="32"/>
          <w:szCs w:val="32"/>
        </w:rPr>
      </w:pPr>
      <w:r>
        <w:rPr>
          <w:rFonts w:hint="eastAsia" w:ascii="仿宋" w:hAnsi="仿宋" w:eastAsia="仿宋" w:cs="仿宋"/>
          <w:sz w:val="32"/>
          <w:szCs w:val="32"/>
        </w:rPr>
        <w:t>指导城乡建设工作。研究拟订城市建设政策、规章制度并指导实施;编制市级住房和城乡建设行业发展规划并组织实施；指导住房和城乡建设行业相关专业规划编制和实施；负责协助市政府统筹指导市政府投资的市政公用设施项目建设；会同有关</w:t>
      </w:r>
      <w:r>
        <w:rPr>
          <w:rFonts w:hint="eastAsia" w:ascii="仿宋" w:hAnsi="仿宋" w:eastAsia="仿宋" w:cs="仿宋"/>
          <w:sz w:val="32"/>
          <w:szCs w:val="32"/>
          <w:lang w:eastAsia="zh-CN"/>
        </w:rPr>
        <w:t>单位</w:t>
      </w:r>
      <w:r>
        <w:rPr>
          <w:rFonts w:hint="eastAsia" w:ascii="仿宋" w:hAnsi="仿宋" w:eastAsia="仿宋" w:cs="仿宋"/>
          <w:sz w:val="32"/>
          <w:szCs w:val="32"/>
        </w:rPr>
        <w:t>负责历史文化名镇名村及传统村落的保护和监督管理工作。</w:t>
      </w:r>
    </w:p>
    <w:p>
      <w:pPr>
        <w:pStyle w:val="21"/>
        <w:rPr>
          <w:rFonts w:hint="eastAsia" w:ascii="仿宋" w:hAnsi="仿宋" w:eastAsia="仿宋" w:cs="仿宋"/>
          <w:sz w:val="32"/>
          <w:szCs w:val="32"/>
        </w:rPr>
      </w:pPr>
      <w:r>
        <w:rPr>
          <w:rFonts w:hint="eastAsia" w:ascii="仿宋" w:hAnsi="仿宋" w:eastAsia="仿宋" w:cs="仿宋"/>
          <w:sz w:val="32"/>
          <w:szCs w:val="32"/>
        </w:rPr>
        <w:t>拟订村镇建设政策并指导实施；指导乡村建筑风貌管控（建设方面）；指导农村住房建设和安全及危房改造；指导建制镇生活污水处理；指导重点镇和特色小城镇建设。</w:t>
      </w:r>
    </w:p>
    <w:p>
      <w:pPr>
        <w:pStyle w:val="21"/>
        <w:rPr>
          <w:rFonts w:hint="eastAsia" w:ascii="仿宋" w:hAnsi="仿宋" w:eastAsia="仿宋" w:cs="仿宋"/>
          <w:sz w:val="32"/>
          <w:szCs w:val="32"/>
        </w:rPr>
      </w:pPr>
      <w:r>
        <w:rPr>
          <w:rFonts w:hint="eastAsia" w:ascii="仿宋" w:hAnsi="仿宋" w:eastAsia="仿宋" w:cs="仿宋"/>
          <w:sz w:val="32"/>
          <w:szCs w:val="32"/>
        </w:rPr>
        <w:t>负责建筑工程质量安全监管。拟订建筑工程质量、施工安全和竣工验收备案的政策、规章制度并监督执行；组织或参与工程重大质量、安全事故的调查处理；拟订建筑业、工程勘察设计咨询业的技术政策并指导实施。负责建设工程消防设计审查工作。</w:t>
      </w:r>
    </w:p>
    <w:p>
      <w:pPr>
        <w:pStyle w:val="21"/>
        <w:rPr>
          <w:rFonts w:hint="eastAsia" w:ascii="仿宋" w:hAnsi="仿宋" w:eastAsia="仿宋" w:cs="仿宋"/>
          <w:sz w:val="32"/>
          <w:szCs w:val="32"/>
        </w:rPr>
      </w:pPr>
      <w:r>
        <w:rPr>
          <w:rFonts w:hint="eastAsia" w:ascii="仿宋" w:hAnsi="仿宋" w:eastAsia="仿宋" w:cs="仿宋"/>
          <w:sz w:val="32"/>
          <w:szCs w:val="32"/>
        </w:rPr>
        <w:t>负责推进建筑节能减排。会同有关</w:t>
      </w:r>
      <w:r>
        <w:rPr>
          <w:rFonts w:hint="eastAsia" w:ascii="仿宋" w:hAnsi="仿宋" w:eastAsia="仿宋" w:cs="仿宋"/>
          <w:sz w:val="32"/>
          <w:szCs w:val="32"/>
          <w:lang w:eastAsia="zh-CN"/>
        </w:rPr>
        <w:t>单位</w:t>
      </w:r>
      <w:r>
        <w:rPr>
          <w:rFonts w:hint="eastAsia" w:ascii="仿宋" w:hAnsi="仿宋" w:eastAsia="仿宋" w:cs="仿宋"/>
          <w:sz w:val="32"/>
          <w:szCs w:val="32"/>
        </w:rPr>
        <w:t>拟订建筑节能的政策、规划并指导实施；制定住房城乡建设的科技发展规划和政策；组织实施重大建筑节能项目；指导和推动建筑节能减排、绿色建筑发展和住房城乡建设行业信息化。</w:t>
      </w:r>
    </w:p>
    <w:p>
      <w:pPr>
        <w:pStyle w:val="21"/>
        <w:rPr>
          <w:rFonts w:hint="eastAsia" w:ascii="仿宋" w:hAnsi="仿宋" w:eastAsia="仿宋" w:cs="仿宋"/>
          <w:sz w:val="32"/>
          <w:szCs w:val="32"/>
        </w:rPr>
      </w:pPr>
      <w:r>
        <w:rPr>
          <w:rFonts w:hint="eastAsia" w:ascii="仿宋" w:hAnsi="仿宋" w:eastAsia="仿宋" w:cs="仿宋"/>
          <w:sz w:val="32"/>
          <w:szCs w:val="32"/>
        </w:rPr>
        <w:t>负责行政执法监督。负责落实住房城乡建设系统行政执法的政策法规；开展住房城乡建设系统违法违规行为的监督与检查；组织查处应由市住房城乡建设局实施行政处罚的案件。</w:t>
      </w:r>
    </w:p>
    <w:p>
      <w:pPr>
        <w:pStyle w:val="21"/>
        <w:rPr>
          <w:rFonts w:hint="eastAsia" w:ascii="仿宋" w:hAnsi="仿宋" w:eastAsia="仿宋" w:cs="仿宋"/>
          <w:sz w:val="32"/>
          <w:szCs w:val="32"/>
        </w:rPr>
      </w:pPr>
      <w:r>
        <w:rPr>
          <w:rFonts w:hint="eastAsia" w:ascii="仿宋" w:hAnsi="仿宋" w:eastAsia="仿宋" w:cs="仿宋"/>
          <w:sz w:val="32"/>
          <w:szCs w:val="32"/>
        </w:rPr>
        <w:t>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jc w:val="center"/>
            </w:pPr>
            <w:r>
              <w:rPr>
                <w:rFonts w:hint="eastAsia"/>
                <w:lang w:eastAsia="zh-CN"/>
              </w:rPr>
              <w:t>单位</w:t>
            </w:r>
            <w:r>
              <w:t>名称</w:t>
            </w:r>
          </w:p>
        </w:tc>
        <w:tc>
          <w:tcPr>
            <w:tcW w:w="1843" w:type="dxa"/>
            <w:vAlign w:val="center"/>
          </w:tcPr>
          <w:p>
            <w:pPr>
              <w:pStyle w:val="14"/>
            </w:pPr>
            <w:r>
              <w:rPr>
                <w:rFonts w:hint="eastAsia"/>
                <w:lang w:eastAsia="zh-CN"/>
              </w:rPr>
              <w:t>单位</w:t>
            </w:r>
            <w:r>
              <w:t>性质</w:t>
            </w:r>
          </w:p>
        </w:tc>
        <w:tc>
          <w:tcPr>
            <w:tcW w:w="2126" w:type="dxa"/>
            <w:vAlign w:val="center"/>
          </w:tcPr>
          <w:p>
            <w:pPr>
              <w:pStyle w:val="14"/>
            </w:pPr>
            <w:r>
              <w:rPr>
                <w:rFonts w:hint="eastAsia"/>
                <w:lang w:eastAsia="zh-CN"/>
              </w:rPr>
              <w:t>单位</w:t>
            </w:r>
            <w:r>
              <w:t>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沙河市住房和城乡建设局</w:t>
            </w:r>
          </w:p>
        </w:tc>
        <w:tc>
          <w:tcPr>
            <w:tcW w:w="1843" w:type="dxa"/>
            <w:vAlign w:val="center"/>
          </w:tcPr>
          <w:p>
            <w:pPr>
              <w:pStyle w:val="17"/>
              <w:jc w:val="both"/>
              <w:rPr>
                <w:rFonts w:hint="eastAsia" w:eastAsia="方正书宋_GBK"/>
                <w:lang w:val="en-US" w:eastAsia="zh-CN"/>
              </w:rPr>
            </w:pPr>
            <w:r>
              <w:rPr>
                <w:rFonts w:hint="eastAsia"/>
                <w:lang w:val="en-US" w:eastAsia="zh-CN"/>
              </w:rP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rPr>
          <w:rFonts w:hint="eastAsia" w:ascii="仿宋" w:hAnsi="仿宋" w:eastAsia="仿宋" w:cs="仿宋"/>
          <w:sz w:val="32"/>
          <w:szCs w:val="32"/>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预算安排的总体情况</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按照预算管理有关规定，目前我省</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预算的编制实行综合预算管理，即全部收入和支出都反映在预算中。沙河市住房和城乡建设局机关及所属事业单位的收支包含在</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预算中。</w:t>
      </w:r>
    </w:p>
    <w:p>
      <w:pPr>
        <w:pStyle w:val="22"/>
        <w:rPr>
          <w:rFonts w:hint="eastAsia" w:ascii="仿宋" w:hAnsi="仿宋" w:eastAsia="仿宋" w:cs="仿宋"/>
          <w:sz w:val="32"/>
          <w:szCs w:val="32"/>
        </w:rPr>
      </w:pPr>
      <w:r>
        <w:rPr>
          <w:rFonts w:hint="eastAsia" w:ascii="仿宋" w:hAnsi="仿宋" w:eastAsia="仿宋" w:cs="仿宋"/>
          <w:sz w:val="32"/>
          <w:szCs w:val="32"/>
        </w:rPr>
        <w:t>1、收入说明</w:t>
      </w:r>
    </w:p>
    <w:p>
      <w:pPr>
        <w:pStyle w:val="22"/>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年本级安排预算收入</w:t>
      </w:r>
      <w:r>
        <w:rPr>
          <w:rFonts w:hint="eastAsia" w:ascii="仿宋" w:hAnsi="仿宋" w:eastAsia="仿宋" w:cs="仿宋"/>
          <w:sz w:val="32"/>
          <w:szCs w:val="32"/>
          <w:lang w:val="en-US" w:eastAsia="zh-CN"/>
        </w:rPr>
        <w:t>4704.32</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4704.32</w:t>
      </w:r>
      <w:r>
        <w:rPr>
          <w:rFonts w:hint="eastAsia" w:ascii="仿宋" w:hAnsi="仿宋" w:eastAsia="仿宋" w:cs="仿宋"/>
          <w:sz w:val="32"/>
          <w:szCs w:val="32"/>
        </w:rPr>
        <w:t>万元，基金预算拨款0万元。</w:t>
      </w:r>
    </w:p>
    <w:p>
      <w:pPr>
        <w:pStyle w:val="22"/>
        <w:rPr>
          <w:rFonts w:hint="eastAsia" w:ascii="仿宋" w:hAnsi="仿宋" w:eastAsia="仿宋" w:cs="仿宋"/>
          <w:sz w:val="32"/>
          <w:szCs w:val="32"/>
        </w:rPr>
      </w:pPr>
      <w:r>
        <w:rPr>
          <w:rFonts w:hint="eastAsia" w:ascii="仿宋" w:hAnsi="仿宋" w:eastAsia="仿宋" w:cs="仿宋"/>
          <w:sz w:val="32"/>
          <w:szCs w:val="32"/>
        </w:rPr>
        <w:t>2、支出说明</w:t>
      </w:r>
    </w:p>
    <w:p>
      <w:pPr>
        <w:pStyle w:val="22"/>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年本级支出预算</w:t>
      </w:r>
      <w:r>
        <w:rPr>
          <w:rFonts w:hint="eastAsia" w:ascii="仿宋" w:hAnsi="仿宋" w:eastAsia="仿宋" w:cs="仿宋"/>
          <w:sz w:val="32"/>
          <w:szCs w:val="32"/>
          <w:lang w:val="en-US" w:eastAsia="zh-CN"/>
        </w:rPr>
        <w:t>4704.32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1154.32</w:t>
      </w:r>
      <w:r>
        <w:rPr>
          <w:rFonts w:hint="eastAsia" w:ascii="仿宋" w:hAnsi="仿宋" w:eastAsia="仿宋" w:cs="仿宋"/>
          <w:sz w:val="32"/>
          <w:szCs w:val="32"/>
        </w:rPr>
        <w:t>万元，包括人员经费和日常公用经费；项目支出</w:t>
      </w:r>
      <w:r>
        <w:rPr>
          <w:rFonts w:hint="eastAsia" w:ascii="仿宋" w:hAnsi="仿宋" w:eastAsia="仿宋" w:cs="仿宋"/>
          <w:sz w:val="32"/>
          <w:szCs w:val="32"/>
          <w:lang w:val="en-US" w:eastAsia="zh-CN"/>
        </w:rPr>
        <w:t>3550</w:t>
      </w:r>
      <w:r>
        <w:rPr>
          <w:rFonts w:hint="eastAsia" w:ascii="仿宋" w:hAnsi="仿宋" w:eastAsia="仿宋" w:cs="仿宋"/>
          <w:sz w:val="32"/>
          <w:szCs w:val="32"/>
        </w:rPr>
        <w:t>万元，其中</w:t>
      </w:r>
      <w:r>
        <w:rPr>
          <w:rFonts w:hint="eastAsia" w:ascii="仿宋" w:hAnsi="仿宋" w:eastAsia="仿宋" w:cs="仿宋"/>
          <w:sz w:val="32"/>
          <w:szCs w:val="32"/>
          <w:lang w:eastAsia="zh-CN"/>
        </w:rPr>
        <w:t>城乡社区支出</w:t>
      </w:r>
      <w:r>
        <w:rPr>
          <w:rFonts w:hint="eastAsia" w:ascii="仿宋" w:hAnsi="仿宋" w:eastAsia="仿宋" w:cs="仿宋"/>
          <w:sz w:val="32"/>
          <w:szCs w:val="32"/>
          <w:lang w:val="en-US" w:eastAsia="zh-CN"/>
        </w:rPr>
        <w:t>50</w:t>
      </w:r>
      <w:r>
        <w:rPr>
          <w:rFonts w:hint="eastAsia" w:ascii="仿宋" w:hAnsi="仿宋" w:eastAsia="仿宋" w:cs="仿宋"/>
          <w:sz w:val="32"/>
          <w:szCs w:val="32"/>
        </w:rPr>
        <w:t>万元，</w:t>
      </w:r>
      <w:r>
        <w:rPr>
          <w:rFonts w:hint="eastAsia" w:ascii="仿宋" w:hAnsi="仿宋" w:eastAsia="仿宋" w:cs="仿宋"/>
          <w:sz w:val="32"/>
          <w:szCs w:val="32"/>
          <w:lang w:eastAsia="zh-CN"/>
        </w:rPr>
        <w:t>节能环保支出</w:t>
      </w:r>
      <w:r>
        <w:rPr>
          <w:rFonts w:hint="eastAsia" w:ascii="仿宋" w:hAnsi="仿宋" w:eastAsia="仿宋" w:cs="仿宋"/>
          <w:sz w:val="32"/>
          <w:szCs w:val="32"/>
          <w:lang w:val="en-US" w:eastAsia="zh-CN"/>
        </w:rPr>
        <w:t>3500</w:t>
      </w:r>
      <w:r>
        <w:rPr>
          <w:rFonts w:hint="eastAsia" w:ascii="仿宋" w:hAnsi="仿宋" w:eastAsia="仿宋" w:cs="仿宋"/>
          <w:sz w:val="32"/>
          <w:szCs w:val="32"/>
        </w:rPr>
        <w:t>万元。</w:t>
      </w:r>
    </w:p>
    <w:p>
      <w:pPr>
        <w:pStyle w:val="22"/>
        <w:rPr>
          <w:rFonts w:hint="eastAsia" w:ascii="仿宋" w:hAnsi="仿宋" w:eastAsia="仿宋" w:cs="仿宋"/>
          <w:sz w:val="32"/>
          <w:szCs w:val="32"/>
        </w:rPr>
      </w:pPr>
      <w:r>
        <w:rPr>
          <w:rFonts w:hint="eastAsia" w:ascii="仿宋" w:hAnsi="仿宋" w:eastAsia="仿宋" w:cs="仿宋"/>
          <w:sz w:val="32"/>
          <w:szCs w:val="32"/>
        </w:rPr>
        <w:t>3、比上年增减情况</w:t>
      </w:r>
    </w:p>
    <w:p>
      <w:pPr>
        <w:pStyle w:val="22"/>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4704.32</w:t>
      </w:r>
      <w:r>
        <w:rPr>
          <w:rFonts w:hint="eastAsia" w:ascii="仿宋" w:hAnsi="仿宋" w:eastAsia="仿宋" w:cs="仿宋"/>
          <w:sz w:val="32"/>
          <w:szCs w:val="32"/>
        </w:rPr>
        <w:t>万元，较202</w:t>
      </w:r>
      <w:r>
        <w:rPr>
          <w:rFonts w:hint="eastAsia" w:ascii="仿宋" w:hAnsi="仿宋" w:eastAsia="仿宋" w:cs="仿宋"/>
          <w:sz w:val="32"/>
          <w:szCs w:val="32"/>
          <w:lang w:val="en-US" w:eastAsia="zh-CN"/>
        </w:rPr>
        <w:t>0</w:t>
      </w:r>
      <w:r>
        <w:rPr>
          <w:rFonts w:hint="eastAsia" w:ascii="仿宋" w:hAnsi="仿宋" w:eastAsia="仿宋" w:cs="仿宋"/>
          <w:sz w:val="32"/>
          <w:szCs w:val="32"/>
        </w:rPr>
        <w:t>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4956.38</w:t>
      </w:r>
      <w:r>
        <w:rPr>
          <w:rFonts w:hint="eastAsia" w:ascii="仿宋" w:hAnsi="仿宋" w:eastAsia="仿宋" w:cs="仿宋"/>
          <w:sz w:val="32"/>
          <w:szCs w:val="32"/>
        </w:rPr>
        <w:t>万元，其中基本支出增加</w:t>
      </w:r>
      <w:r>
        <w:rPr>
          <w:rFonts w:hint="eastAsia" w:ascii="仿宋" w:hAnsi="仿宋" w:eastAsia="仿宋" w:cs="仿宋"/>
          <w:sz w:val="32"/>
          <w:szCs w:val="32"/>
          <w:lang w:val="en-US" w:eastAsia="zh-CN"/>
        </w:rPr>
        <w:t>571.19</w:t>
      </w:r>
      <w:r>
        <w:rPr>
          <w:rFonts w:hint="eastAsia" w:ascii="仿宋" w:hAnsi="仿宋" w:eastAsia="仿宋" w:cs="仿宋"/>
          <w:sz w:val="32"/>
          <w:szCs w:val="32"/>
        </w:rPr>
        <w:t>万元，项目支出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5527.57</w:t>
      </w:r>
      <w:r>
        <w:rPr>
          <w:rFonts w:hint="eastAsia" w:ascii="仿宋" w:hAnsi="仿宋" w:eastAsia="仿宋" w:cs="仿宋"/>
          <w:sz w:val="32"/>
          <w:szCs w:val="32"/>
        </w:rPr>
        <w:t>万元，总体</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4956.38</w:t>
      </w:r>
      <w:r>
        <w:rPr>
          <w:rFonts w:hint="eastAsia" w:ascii="仿宋" w:hAnsi="仿宋" w:eastAsia="仿宋" w:cs="仿宋"/>
          <w:sz w:val="32"/>
          <w:szCs w:val="32"/>
        </w:rPr>
        <w:t>万元，与2021年相比有所</w:t>
      </w:r>
      <w:r>
        <w:rPr>
          <w:rFonts w:hint="eastAsia" w:ascii="仿宋" w:hAnsi="仿宋" w:eastAsia="仿宋" w:cs="仿宋"/>
          <w:sz w:val="32"/>
          <w:szCs w:val="32"/>
          <w:lang w:eastAsia="zh-CN"/>
        </w:rPr>
        <w:t>减少</w:t>
      </w:r>
      <w:r>
        <w:rPr>
          <w:rFonts w:hint="eastAsia" w:ascii="仿宋" w:hAnsi="仿宋" w:eastAsia="仿宋" w:cs="仿宋"/>
          <w:sz w:val="32"/>
          <w:szCs w:val="32"/>
        </w:rPr>
        <w:t>，主要原因为项目调整。</w:t>
      </w:r>
    </w:p>
    <w:p>
      <w:pPr>
        <w:spacing w:before="10" w:after="10" w:line="360" w:lineRule="auto"/>
        <w:ind w:firstLine="640"/>
        <w:outlineLvl w:val="2"/>
        <w:rPr>
          <w:rFonts w:hint="eastAsia" w:ascii="仿宋" w:hAnsi="仿宋" w:eastAsia="仿宋" w:cs="仿宋"/>
          <w:sz w:val="32"/>
          <w:szCs w:val="32"/>
        </w:rPr>
      </w:pPr>
      <w:r>
        <w:rPr>
          <w:rFonts w:hint="eastAsia" w:ascii="仿宋" w:hAnsi="仿宋" w:eastAsia="仿宋" w:cs="仿宋"/>
          <w:color w:val="000000"/>
          <w:sz w:val="32"/>
          <w:szCs w:val="32"/>
        </w:rPr>
        <w:t>三、机关运行经费安排情况</w:t>
      </w:r>
    </w:p>
    <w:p>
      <w:pPr>
        <w:pStyle w:val="23"/>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年沙河市住建局机关运行经费安排</w:t>
      </w:r>
      <w:r>
        <w:rPr>
          <w:rFonts w:hint="eastAsia" w:ascii="仿宋" w:hAnsi="仿宋" w:eastAsia="仿宋" w:cs="仿宋"/>
          <w:sz w:val="32"/>
          <w:szCs w:val="32"/>
          <w:lang w:val="en-US" w:eastAsia="zh-CN"/>
        </w:rPr>
        <w:t>32.08</w:t>
      </w:r>
      <w:r>
        <w:rPr>
          <w:rFonts w:hint="eastAsia" w:ascii="仿宋" w:hAnsi="仿宋" w:eastAsia="仿宋" w:cs="仿宋"/>
          <w:sz w:val="32"/>
          <w:szCs w:val="32"/>
        </w:rPr>
        <w:t>万元，主要用于机关正常运转、办公用房维修维护等日常运行支出。</w:t>
      </w:r>
    </w:p>
    <w:p>
      <w:pPr>
        <w:spacing w:before="10" w:after="10" w:line="360" w:lineRule="auto"/>
        <w:ind w:firstLine="640"/>
        <w:outlineLvl w:val="2"/>
        <w:rPr>
          <w:rFonts w:hint="eastAsia" w:ascii="仿宋" w:hAnsi="仿宋" w:eastAsia="仿宋" w:cs="仿宋"/>
          <w:sz w:val="32"/>
          <w:szCs w:val="32"/>
        </w:rPr>
      </w:pPr>
      <w:r>
        <w:rPr>
          <w:rFonts w:hint="eastAsia" w:ascii="仿宋" w:hAnsi="仿宋" w:eastAsia="仿宋" w:cs="仿宋"/>
          <w:color w:val="000000"/>
          <w:sz w:val="32"/>
          <w:szCs w:val="32"/>
        </w:rPr>
        <w:t>四、财政拨款“三公”经费预算情况及增减变化原因</w:t>
      </w:r>
    </w:p>
    <w:p>
      <w:pPr>
        <w:pStyle w:val="24"/>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年，沙河市住建局“三公”经费预算安排</w:t>
      </w:r>
      <w:r>
        <w:rPr>
          <w:rFonts w:hint="eastAsia" w:ascii="仿宋" w:hAnsi="仿宋" w:eastAsia="仿宋" w:cs="仿宋"/>
          <w:sz w:val="32"/>
          <w:szCs w:val="32"/>
          <w:lang w:val="en-US" w:eastAsia="zh-CN"/>
        </w:rPr>
        <w:t>5</w:t>
      </w:r>
      <w:r>
        <w:rPr>
          <w:rFonts w:hint="eastAsia" w:ascii="仿宋" w:hAnsi="仿宋" w:eastAsia="仿宋" w:cs="仿宋"/>
          <w:sz w:val="32"/>
          <w:szCs w:val="32"/>
        </w:rPr>
        <w:t>.2万元，其中因公出国（境）费0元；公务用车购置及运维费</w:t>
      </w:r>
      <w:r>
        <w:rPr>
          <w:rFonts w:hint="eastAsia" w:ascii="仿宋" w:hAnsi="仿宋" w:eastAsia="仿宋" w:cs="仿宋"/>
          <w:sz w:val="32"/>
          <w:szCs w:val="32"/>
          <w:lang w:val="en-US" w:eastAsia="zh-CN"/>
        </w:rPr>
        <w:t>4</w:t>
      </w:r>
      <w:r>
        <w:rPr>
          <w:rFonts w:hint="eastAsia" w:ascii="仿宋" w:hAnsi="仿宋" w:eastAsia="仿宋" w:cs="仿宋"/>
          <w:sz w:val="32"/>
          <w:szCs w:val="32"/>
        </w:rPr>
        <w:t>万元（公务用车购置费0元，公务用车运维费</w:t>
      </w:r>
      <w:r>
        <w:rPr>
          <w:rFonts w:hint="eastAsia" w:ascii="仿宋" w:hAnsi="仿宋" w:eastAsia="仿宋" w:cs="仿宋"/>
          <w:sz w:val="32"/>
          <w:szCs w:val="32"/>
          <w:lang w:val="en-US" w:eastAsia="zh-CN"/>
        </w:rPr>
        <w:t>4</w:t>
      </w:r>
      <w:r>
        <w:rPr>
          <w:rFonts w:hint="eastAsia" w:ascii="仿宋" w:hAnsi="仿宋" w:eastAsia="仿宋" w:cs="仿宋"/>
          <w:sz w:val="32"/>
          <w:szCs w:val="32"/>
        </w:rPr>
        <w:t>万元）</w:t>
      </w:r>
      <w:r>
        <w:rPr>
          <w:rFonts w:hint="eastAsia" w:ascii="仿宋" w:hAnsi="仿宋" w:eastAsia="仿宋" w:cs="仿宋"/>
          <w:sz w:val="32"/>
          <w:szCs w:val="32"/>
          <w:lang w:eastAsia="zh-CN"/>
        </w:rPr>
        <w:t>，与202</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年相比持平</w:t>
      </w:r>
      <w:r>
        <w:rPr>
          <w:rFonts w:hint="eastAsia" w:ascii="仿宋" w:hAnsi="仿宋" w:eastAsia="仿宋" w:cs="仿宋"/>
          <w:sz w:val="32"/>
          <w:szCs w:val="32"/>
        </w:rPr>
        <w:t>；公务接待费1.2万元，与202</w:t>
      </w:r>
      <w:r>
        <w:rPr>
          <w:rFonts w:hint="eastAsia" w:ascii="仿宋" w:hAnsi="仿宋" w:eastAsia="仿宋" w:cs="仿宋"/>
          <w:sz w:val="32"/>
          <w:szCs w:val="32"/>
          <w:lang w:val="en-US" w:eastAsia="zh-CN"/>
        </w:rPr>
        <w:t>0</w:t>
      </w:r>
      <w:r>
        <w:rPr>
          <w:rFonts w:hint="eastAsia" w:ascii="仿宋" w:hAnsi="仿宋" w:eastAsia="仿宋" w:cs="仿宋"/>
          <w:sz w:val="32"/>
          <w:szCs w:val="32"/>
        </w:rPr>
        <w:t>年</w:t>
      </w:r>
      <w:r>
        <w:rPr>
          <w:rFonts w:hint="eastAsia" w:ascii="仿宋" w:hAnsi="仿宋" w:eastAsia="仿宋" w:cs="仿宋"/>
          <w:sz w:val="32"/>
          <w:szCs w:val="32"/>
          <w:lang w:eastAsia="zh-CN"/>
        </w:rPr>
        <w:t>相比持平</w:t>
      </w:r>
      <w:r>
        <w:rPr>
          <w:rFonts w:hint="eastAsia" w:ascii="仿宋" w:hAnsi="仿宋" w:eastAsia="仿宋" w:cs="仿宋"/>
          <w:sz w:val="32"/>
          <w:szCs w:val="32"/>
        </w:rPr>
        <w:t>。今后我</w:t>
      </w:r>
      <w:r>
        <w:rPr>
          <w:rFonts w:hint="eastAsia" w:ascii="仿宋" w:hAnsi="仿宋" w:eastAsia="仿宋" w:cs="仿宋"/>
          <w:sz w:val="32"/>
          <w:szCs w:val="32"/>
          <w:lang w:eastAsia="zh-CN"/>
        </w:rPr>
        <w:t>单位</w:t>
      </w:r>
      <w:r>
        <w:rPr>
          <w:rFonts w:hint="eastAsia" w:ascii="仿宋" w:hAnsi="仿宋" w:eastAsia="仿宋" w:cs="仿宋"/>
          <w:sz w:val="32"/>
          <w:szCs w:val="32"/>
        </w:rPr>
        <w:t>将一如既往，积极贯彻落实上级有关规定，强化预算管理，严格控制“三公”经费支出。</w:t>
      </w:r>
    </w:p>
    <w:p>
      <w:pPr>
        <w:spacing w:before="10" w:after="10" w:line="360" w:lineRule="auto"/>
        <w:ind w:firstLine="640"/>
        <w:outlineLvl w:val="2"/>
        <w:rPr>
          <w:rFonts w:hint="eastAsia" w:ascii="仿宋" w:hAnsi="仿宋" w:eastAsia="仿宋" w:cs="仿宋"/>
          <w:sz w:val="32"/>
          <w:szCs w:val="32"/>
        </w:rPr>
      </w:pPr>
      <w:r>
        <w:rPr>
          <w:rFonts w:hint="eastAsia" w:ascii="仿宋" w:hAnsi="仿宋" w:eastAsia="仿宋" w:cs="仿宋"/>
          <w:color w:val="000000"/>
          <w:sz w:val="32"/>
          <w:szCs w:val="32"/>
        </w:rPr>
        <w:t>五、预算绩效信息</w:t>
      </w:r>
    </w:p>
    <w:p>
      <w:pPr>
        <w:ind w:firstLine="640"/>
        <w:rPr>
          <w:rFonts w:hint="eastAsia" w:ascii="仿宋" w:hAnsi="仿宋" w:eastAsia="仿宋" w:cs="仿宋"/>
          <w:sz w:val="32"/>
          <w:szCs w:val="32"/>
        </w:rPr>
      </w:pPr>
      <w:r>
        <w:rPr>
          <w:rFonts w:hint="eastAsia" w:ascii="仿宋" w:hAnsi="仿宋" w:eastAsia="仿宋" w:cs="仿宋"/>
          <w:b/>
          <w:color w:val="000000"/>
          <w:sz w:val="32"/>
          <w:szCs w:val="32"/>
        </w:rPr>
        <w:t xml:space="preserve">第一部分 </w:t>
      </w:r>
      <w:r>
        <w:rPr>
          <w:rFonts w:hint="eastAsia" w:ascii="仿宋" w:hAnsi="仿宋" w:eastAsia="仿宋" w:cs="仿宋"/>
          <w:b/>
          <w:color w:val="000000"/>
          <w:sz w:val="32"/>
          <w:szCs w:val="32"/>
          <w:lang w:eastAsia="zh-CN"/>
        </w:rPr>
        <w:t>单位</w:t>
      </w:r>
      <w:r>
        <w:rPr>
          <w:rFonts w:hint="eastAsia" w:ascii="仿宋" w:hAnsi="仿宋" w:eastAsia="仿宋" w:cs="仿宋"/>
          <w:b/>
          <w:color w:val="000000"/>
          <w:sz w:val="32"/>
          <w:szCs w:val="32"/>
        </w:rPr>
        <w:t>整体绩效目标</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（一）总体绩效目标</w:t>
      </w:r>
    </w:p>
    <w:p>
      <w:pPr>
        <w:pStyle w:val="25"/>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年，市住建局紧紧围绕市委、市政府中心工作，创新工作方式方法，充分利用预算资金，完成以下总体绩效目标：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一是加大违法违规预售</w:t>
      </w:r>
      <w:r>
        <w:rPr>
          <w:rFonts w:hint="eastAsia" w:ascii="仿宋" w:hAnsi="仿宋" w:eastAsia="仿宋" w:cs="仿宋"/>
          <w:sz w:val="32"/>
          <w:szCs w:val="32"/>
          <w:lang w:eastAsia="zh-CN"/>
        </w:rPr>
        <w:t>查</w:t>
      </w:r>
      <w:r>
        <w:rPr>
          <w:rFonts w:hint="eastAsia" w:ascii="仿宋" w:hAnsi="仿宋" w:eastAsia="仿宋" w:cs="仿宋"/>
          <w:sz w:val="32"/>
          <w:szCs w:val="32"/>
        </w:rPr>
        <w:t>处力度。二是严厉打击违规房地产中介机构。三是严格落实商品房网签备案制度。四是全面解决房地产遗留问题。规范健康有序，稳步推进建筑行业监督管理工作，实现精细化管理，建筑施工安全实现新常态，创新闭合式管理提升建筑工程质量监管水平，加强监管措施，切实改善建筑施工扬尘污染，全面解决住建领域农民工欠薪案件。保障改善民生各项重点工作顺利开展。落实责任，破解难题，全力以赴完成农村气代煤电代煤、农村危房改造、棚户区改造、老旧小区改造和城市路网工程。</w:t>
      </w:r>
    </w:p>
    <w:p>
      <w:pPr>
        <w:spacing w:line="500" w:lineRule="exact"/>
        <w:ind w:firstLine="640" w:firstLineChars="200"/>
        <w:jc w:val="left"/>
        <w:rPr>
          <w:rFonts w:hint="eastAsia" w:ascii="仿宋" w:hAnsi="仿宋" w:eastAsia="仿宋" w:cs="仿宋"/>
          <w:sz w:val="32"/>
          <w:szCs w:val="32"/>
        </w:rPr>
      </w:pP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（二）分项绩效目标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（一）计划打通6条断头路。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 打通6条断头路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绩效指标：完成数量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（二）计划改造老旧小区15个。</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绩效目标：完成改造老旧小区15个</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绩效指标：完成数量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（三）按时完成农村双代改造任务。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绩效目标：完成农村双代改造任务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绩效指标：完成程度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（四）按时完成农村危房改造工程。</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绩效目标：完成农村危房改造工程</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绩效指标：完成数量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（五）按时完成棚户区改造任务。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绩效目标：完成棚户区改造任务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绩效指标：完成数量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（六）完成农村厕所改造收尾工程。</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绩效目标：完成农村厕所改造收尾工程</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绩效指标：完成数量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（七）化解信访积案。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绩效目标：化解信访积案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绩效指标：化解数量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（八）增加监管领域巡</w:t>
      </w:r>
      <w:r>
        <w:rPr>
          <w:rFonts w:hint="eastAsia" w:ascii="仿宋" w:hAnsi="仿宋" w:eastAsia="仿宋" w:cs="仿宋"/>
          <w:sz w:val="32"/>
          <w:szCs w:val="32"/>
          <w:lang w:eastAsia="zh-CN"/>
        </w:rPr>
        <w:t>查</w:t>
      </w:r>
      <w:r>
        <w:rPr>
          <w:rFonts w:hint="eastAsia" w:ascii="仿宋" w:hAnsi="仿宋" w:eastAsia="仿宋" w:cs="仿宋"/>
          <w:sz w:val="32"/>
          <w:szCs w:val="32"/>
        </w:rPr>
        <w:t>频次。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绩效目标：增加监管领域巡</w:t>
      </w:r>
      <w:r>
        <w:rPr>
          <w:rFonts w:hint="eastAsia" w:ascii="仿宋" w:hAnsi="仿宋" w:eastAsia="仿宋" w:cs="仿宋"/>
          <w:sz w:val="32"/>
          <w:szCs w:val="32"/>
          <w:lang w:eastAsia="zh-CN"/>
        </w:rPr>
        <w:t>查</w:t>
      </w:r>
      <w:r>
        <w:rPr>
          <w:rFonts w:hint="eastAsia" w:ascii="仿宋" w:hAnsi="仿宋" w:eastAsia="仿宋" w:cs="仿宋"/>
          <w:sz w:val="32"/>
          <w:szCs w:val="32"/>
        </w:rPr>
        <w:t>频次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绩效指标：巡查次数</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（九）高效完成日常业务。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绩效目标：高效完成日常业务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绩效指标：完成业务量</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（三）工作保障措施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一、完善制度建设。制定完善预算绩效管理制度，细化资金管理办法，严格落实项目管理制度，为全年预算绩效目标的实现奠定制度基础。</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二、加强支出管理。优化支出结构，编细编实预算，加快履行政府采购手续，尽快启动项目，及时支付资金，按规定及时支付资金，确保支出进度达标，保障项目顺利实施。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三、加强绩效运行监控。完善内部控制制度，项目实施期间按要求开展绩效运行监控，做到监督到位，发现问题及时采取措施，确保绩效目标如期保质实现。</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四、做好绩效自评。按要求开展上年度</w:t>
      </w:r>
      <w:r>
        <w:rPr>
          <w:rFonts w:hint="eastAsia" w:ascii="仿宋" w:hAnsi="仿宋" w:eastAsia="仿宋" w:cs="仿宋"/>
          <w:sz w:val="32"/>
          <w:szCs w:val="32"/>
          <w:lang w:eastAsia="zh-CN"/>
        </w:rPr>
        <w:t>单位</w:t>
      </w:r>
      <w:r>
        <w:rPr>
          <w:rFonts w:hint="eastAsia" w:ascii="仿宋" w:hAnsi="仿宋" w:eastAsia="仿宋" w:cs="仿宋"/>
          <w:sz w:val="32"/>
          <w:szCs w:val="32"/>
        </w:rPr>
        <w:t>预算绩效自评和重点评价工作，对评价中发现的问题及时整改，调整优化支出结构，提高财政资金使用效益。</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五、规范财务资产管理。完善财务管理制度，严格审批程序，提高资金使用效益，加强固定资产登记、使用和报废处置管理，做到支出合理，物尽其用。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加强内部监督。切实做好内部控制，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rPr>
          <w:rFonts w:hint="eastAsia" w:ascii="仿宋" w:hAnsi="仿宋" w:eastAsia="仿宋" w:cs="仿宋"/>
          <w:sz w:val="32"/>
          <w:szCs w:val="32"/>
        </w:rPr>
      </w:pPr>
      <w:r>
        <w:rPr>
          <w:rFonts w:hint="eastAsia" w:ascii="仿宋" w:hAnsi="仿宋" w:eastAsia="仿宋" w:cs="仿宋"/>
          <w:sz w:val="32"/>
          <w:szCs w:val="32"/>
        </w:rPr>
        <w:t>七、加强宣传培训调研等。不断加强人员培训，提高本</w:t>
      </w:r>
      <w:r>
        <w:rPr>
          <w:rFonts w:hint="eastAsia" w:ascii="仿宋" w:hAnsi="仿宋" w:eastAsia="仿宋" w:cs="仿宋"/>
          <w:sz w:val="32"/>
          <w:szCs w:val="32"/>
          <w:lang w:eastAsia="zh-CN"/>
        </w:rPr>
        <w:t>单位</w:t>
      </w:r>
      <w:r>
        <w:rPr>
          <w:rFonts w:hint="eastAsia" w:ascii="仿宋" w:hAnsi="仿宋" w:eastAsia="仿宋" w:cs="仿宋"/>
          <w:sz w:val="32"/>
          <w:szCs w:val="32"/>
        </w:rPr>
        <w:t>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方正楷体_GBK" w:hAnsi="方正楷体_GBK" w:eastAsia="宋体"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eastAsia="宋体"/>
          <w:lang w:eastAsia="zh-CN"/>
        </w:rPr>
      </w:pPr>
    </w:p>
    <w:p>
      <w:pPr>
        <w:ind w:firstLine="640"/>
        <w:rPr>
          <w:rFonts w:hint="eastAsia" w:ascii="仿宋" w:hAnsi="仿宋" w:eastAsia="仿宋" w:cs="仿宋"/>
          <w:sz w:val="32"/>
          <w:szCs w:val="32"/>
          <w:lang w:eastAsia="zh-CN"/>
        </w:rPr>
        <w:sectPr>
          <w:pgSz w:w="16840" w:h="11900" w:orient="landscape"/>
          <w:pgMar w:top="1361" w:right="1020" w:bottom="1361" w:left="1020" w:header="720" w:footer="720" w:gutter="0"/>
          <w:cols w:space="720" w:num="1"/>
        </w:sectPr>
      </w:pPr>
      <w:r>
        <w:rPr>
          <w:rFonts w:hint="eastAsia" w:ascii="仿宋" w:hAnsi="仿宋" w:eastAsia="仿宋" w:cs="仿宋"/>
          <w:sz w:val="32"/>
          <w:szCs w:val="32"/>
          <w:lang w:eastAsia="zh-CN"/>
        </w:rPr>
        <w:t>无</w:t>
      </w:r>
    </w:p>
    <w:p>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ind w:firstLine="562" w:firstLineChars="200"/>
        <w:jc w:val="left"/>
        <w:outlineLvl w:val="3"/>
        <w:rPr>
          <w:rFonts w:hAnsi="宋体"/>
          <w:b/>
          <w:sz w:val="28"/>
        </w:rPr>
      </w:pPr>
      <w:r>
        <w:rPr>
          <w:rFonts w:hint="eastAsia" w:ascii="方正仿宋_GBK" w:eastAsia="方正仿宋_GBK"/>
          <w:b/>
          <w:sz w:val="28"/>
        </w:rPr>
        <w:t>1.住房和城乡建设监管经费绩效目标表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8、住房和城乡建设监管经费绩效目标表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177002沙河市住房和城乡建设局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13058221UK3KSL0CUEXRO</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住房和城乡建设监管经费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确保机关日常工作正常运转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hint="eastAsia" w:ascii="方正书宋_GBK" w:eastAsia="方正书宋_GBK"/>
              </w:rPr>
            </w:pPr>
            <w:r>
              <w:rPr>
                <w:rFonts w:hint="eastAsia" w:ascii="方正书宋_GBK" w:eastAsia="方正书宋_GBK"/>
              </w:rPr>
              <w:t>1.确保机关日常工作正常运转</w:t>
            </w:r>
          </w:p>
          <w:p>
            <w:pPr>
              <w:spacing w:line="300" w:lineRule="exact"/>
              <w:jc w:val="left"/>
              <w:rPr>
                <w:rFonts w:ascii="方正书宋_GBK" w:eastAsia="方正书宋_GBK"/>
              </w:rPr>
            </w:pPr>
            <w:r>
              <w:rPr>
                <w:rFonts w:hint="eastAsia" w:ascii="方正书宋_GBK" w:eastAsia="方正书宋_GBK"/>
              </w:rPr>
              <w:t>2.确保机关日常工作顺利开展</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预算执行数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预算执行额度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50万元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2021年度</w:t>
            </w:r>
            <w:r>
              <w:rPr>
                <w:rFonts w:hint="eastAsia" w:ascii="方正书宋_GBK" w:eastAsia="方正书宋_GBK"/>
                <w:lang w:eastAsia="zh-CN"/>
              </w:rPr>
              <w:t>单位</w:t>
            </w:r>
            <w:r>
              <w:rPr>
                <w:rFonts w:hint="eastAsia"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机关日常工作正常运转保障率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≥95百分比</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2021年度</w:t>
            </w:r>
            <w:r>
              <w:rPr>
                <w:rFonts w:hint="eastAsia" w:ascii="方正书宋_GBK" w:eastAsia="方正书宋_GBK"/>
                <w:lang w:eastAsia="zh-CN"/>
              </w:rPr>
              <w:t>单位</w:t>
            </w:r>
            <w:r>
              <w:rPr>
                <w:rFonts w:hint="eastAsia"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机关日常工作正常运转及时率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≥95百分比</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2021年度</w:t>
            </w:r>
            <w:r>
              <w:rPr>
                <w:rFonts w:hint="eastAsia" w:ascii="方正书宋_GBK" w:eastAsia="方正书宋_GBK"/>
                <w:lang w:eastAsia="zh-CN"/>
              </w:rPr>
              <w:t>单位</w:t>
            </w:r>
            <w:r>
              <w:rPr>
                <w:rFonts w:hint="eastAsia"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厉行节约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≥95百分比</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2021年度</w:t>
            </w:r>
            <w:r>
              <w:rPr>
                <w:rFonts w:hint="eastAsia" w:ascii="方正书宋_GBK" w:eastAsia="方正书宋_GBK"/>
                <w:lang w:eastAsia="zh-CN"/>
              </w:rPr>
              <w:t>单位</w:t>
            </w:r>
            <w:r>
              <w:rPr>
                <w:rFonts w:hint="eastAsia"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贡献率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对社会贡献情况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≥98百分比</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2021年度</w:t>
            </w:r>
            <w:r>
              <w:rPr>
                <w:rFonts w:hint="eastAsia" w:ascii="方正书宋_GBK" w:eastAsia="方正书宋_GBK"/>
                <w:lang w:eastAsia="zh-CN"/>
              </w:rPr>
              <w:t>单位</w:t>
            </w:r>
            <w:r>
              <w:rPr>
                <w:rFonts w:hint="eastAsia" w:ascii="方正书宋_GBK" w:eastAsia="方正书宋_GBK"/>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≥98百分比</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2021年度</w:t>
            </w:r>
            <w:r>
              <w:rPr>
                <w:rFonts w:hint="eastAsia" w:ascii="方正书宋_GBK" w:eastAsia="方正书宋_GBK"/>
                <w:lang w:eastAsia="zh-CN"/>
              </w:rPr>
              <w:t>单位</w:t>
            </w:r>
            <w:r>
              <w:rPr>
                <w:rFonts w:hint="eastAsia" w:ascii="方正书宋_GBK" w:eastAsia="方正书宋_GBK"/>
              </w:rPr>
              <w:t>预算</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hAnsi="宋体"/>
          <w:b/>
          <w:sz w:val="28"/>
        </w:rPr>
      </w:pPr>
      <w:r>
        <w:rPr>
          <w:rFonts w:hint="eastAsia" w:ascii="方正仿宋_GBK" w:eastAsia="方正仿宋_GBK"/>
          <w:b/>
          <w:sz w:val="28"/>
        </w:rPr>
        <w:t>2.清洁取暖绩效目标表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9、清洁取暖绩效目标表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177002沙河市住房和城乡建设局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13058221XEG9MM27V77D6</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清洁取暖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35000000.00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35000000.00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3"/>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用于农村清洁取暖，确保群众温暖过冬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p>
        </w:tc>
        <w:tc>
          <w:tcPr>
            <w:tcW w:w="2410" w:type="dxa"/>
            <w:gridSpan w:val="2"/>
            <w:vAlign w:val="center"/>
          </w:tcPr>
          <w:p>
            <w:pPr>
              <w:spacing w:line="300" w:lineRule="exact"/>
              <w:jc w:val="center"/>
              <w:rPr>
                <w:rFonts w:ascii="方正书宋_GBK" w:eastAsia="方正书宋_GBK"/>
                <w:b/>
              </w:rPr>
            </w:pPr>
            <w:r>
              <w:rPr>
                <w:rFonts w:hint="eastAsia" w:ascii="方正书宋_GBK" w:eastAsia="方正书宋_GBK"/>
                <w:b/>
              </w:rPr>
              <w:t>3月底</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6月底</w:t>
            </w:r>
          </w:p>
        </w:tc>
        <w:tc>
          <w:tcPr>
            <w:tcW w:w="1304" w:type="dxa"/>
            <w:vAlign w:val="center"/>
          </w:tcPr>
          <w:p>
            <w:pPr>
              <w:spacing w:line="300" w:lineRule="exact"/>
              <w:jc w:val="center"/>
              <w:rPr>
                <w:rFonts w:ascii="方正书宋_GBK" w:eastAsia="方正书宋_GBK"/>
                <w:b/>
              </w:rPr>
            </w:pPr>
            <w:r>
              <w:rPr>
                <w:rFonts w:hint="eastAsia" w:ascii="方正书宋_GBK" w:eastAsia="方正书宋_GBK"/>
                <w:b/>
              </w:rPr>
              <w:t>10月底</w:t>
            </w:r>
          </w:p>
        </w:tc>
        <w:tc>
          <w:tcPr>
            <w:tcW w:w="2977" w:type="dxa"/>
            <w:gridSpan w:val="2"/>
            <w:vAlign w:val="center"/>
          </w:tcPr>
          <w:p>
            <w:pPr>
              <w:spacing w:line="300" w:lineRule="exact"/>
              <w:jc w:val="center"/>
              <w:rPr>
                <w:rFonts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3"/>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hint="eastAsia" w:ascii="方正书宋_GBK" w:eastAsia="方正书宋_GBK"/>
              </w:rPr>
            </w:pPr>
            <w:r>
              <w:rPr>
                <w:rFonts w:hint="eastAsia" w:ascii="方正书宋_GBK" w:eastAsia="方正书宋_GBK"/>
              </w:rPr>
              <w:t>1.完成全市清洁取暖改造工作</w:t>
            </w:r>
          </w:p>
          <w:p>
            <w:pPr>
              <w:spacing w:line="300" w:lineRule="exact"/>
              <w:jc w:val="left"/>
              <w:rPr>
                <w:rFonts w:ascii="方正书宋_GBK" w:eastAsia="方正书宋_GBK"/>
              </w:rPr>
            </w:pPr>
            <w:r>
              <w:rPr>
                <w:rFonts w:hint="eastAsia" w:ascii="方正书宋_GBK" w:eastAsia="方正书宋_GBK"/>
              </w:rPr>
              <w:t>2.确保群众温暖过冬</w:t>
            </w:r>
          </w:p>
        </w:tc>
      </w:tr>
    </w:tbl>
    <w:p>
      <w:pPr>
        <w:spacing w:line="14" w:lineRule="exact"/>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任务目标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完成年度任务情况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2020年沙河市冬季清洁取暖实施方案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p>
          <w:p>
            <w:pPr>
              <w:spacing w:line="300" w:lineRule="exact"/>
              <w:jc w:val="left"/>
              <w:rPr>
                <w:rFonts w:ascii="方正书宋_GBK" w:eastAsia="方正书宋_GBK"/>
              </w:rPr>
            </w:pP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2020年沙河市冬季清洁取暖实施方案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按期完成任务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按期完成任务情况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2020年沙河市冬季清洁取暖实施方案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总成本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成本使用率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≥100百分比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2020年沙河市冬季清洁取暖实施方案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用户持续使用情况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用户持续使用率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≥90百分比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2020年沙河市冬季清洁取暖实施方案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≥95百分比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2020年沙河市冬季清洁取暖实施方案</w:t>
            </w:r>
          </w:p>
        </w:tc>
      </w:tr>
    </w:tbl>
    <w:p>
      <w:pPr>
        <w:spacing w:line="300" w:lineRule="exact"/>
        <w:jc w:val="left"/>
      </w:pPr>
    </w:p>
    <w:p>
      <w:pPr>
        <w:jc w:val="center"/>
        <w:rPr>
          <w:rFonts w:eastAsia="方正仿宋_GBK"/>
          <w:sz w:val="28"/>
        </w:rPr>
      </w:pP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spacing w:before="10" w:after="10"/>
        <w:ind w:firstLine="640"/>
        <w:outlineLvl w:val="2"/>
        <w:rPr>
          <w:rFonts w:hint="eastAsia" w:ascii="仿宋" w:hAnsi="仿宋" w:eastAsia="仿宋" w:cs="仿宋"/>
          <w:color w:val="auto"/>
          <w:sz w:val="32"/>
          <w:szCs w:val="32"/>
        </w:rPr>
      </w:pPr>
      <w:r>
        <w:rPr>
          <w:rFonts w:hint="eastAsia" w:ascii="仿宋" w:hAnsi="仿宋" w:eastAsia="仿宋" w:cs="仿宋"/>
          <w:color w:val="auto"/>
          <w:sz w:val="32"/>
          <w:szCs w:val="32"/>
        </w:rPr>
        <w:t>六、政府采购预算情况</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年，沙河市住房和城乡建设局安排政府采购预算0.00万元。具体内容见下表。</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ascii="仿宋" w:hAnsi="仿宋" w:eastAsia="仿宋" w:cs="仿宋"/>
                <w:color w:val="auto"/>
                <w:sz w:val="32"/>
                <w:szCs w:val="32"/>
              </w:rPr>
            </w:pPr>
            <w:r>
              <w:rPr>
                <w:rFonts w:hint="eastAsia" w:ascii="仿宋" w:hAnsi="仿宋" w:eastAsia="仿宋" w:cs="仿宋"/>
                <w:color w:val="auto"/>
                <w:sz w:val="32"/>
                <w:szCs w:val="32"/>
              </w:rPr>
              <w:t>177沙河市住房和城乡建设局</w:t>
            </w:r>
          </w:p>
        </w:tc>
        <w:tc>
          <w:tcPr>
            <w:tcW w:w="8676" w:type="dxa"/>
            <w:gridSpan w:val="9"/>
            <w:tcBorders>
              <w:top w:val="single" w:color="FFFFFF" w:sz="6" w:space="0"/>
              <w:left w:val="single" w:color="FFFFFF" w:sz="6" w:space="0"/>
              <w:right w:val="single" w:color="FFFFFF" w:sz="6" w:space="0"/>
            </w:tcBorders>
            <w:vAlign w:val="center"/>
          </w:tcPr>
          <w:p>
            <w:pPr>
              <w:pStyle w:val="28"/>
              <w:rPr>
                <w:rFonts w:hint="eastAsia" w:ascii="仿宋" w:hAnsi="仿宋" w:eastAsia="仿宋" w:cs="仿宋"/>
                <w:color w:val="auto"/>
                <w:sz w:val="32"/>
                <w:szCs w:val="32"/>
              </w:rPr>
            </w:pPr>
            <w:r>
              <w:rPr>
                <w:rFonts w:hint="eastAsia" w:ascii="仿宋" w:hAnsi="仿宋" w:eastAsia="仿宋" w:cs="仿宋"/>
                <w:color w:val="auto"/>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政府采购项目来源</w:t>
            </w:r>
          </w:p>
        </w:tc>
        <w:tc>
          <w:tcPr>
            <w:tcW w:w="1134" w:type="dxa"/>
            <w:vMerge w:val="restart"/>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采购物品名称</w:t>
            </w:r>
          </w:p>
        </w:tc>
        <w:tc>
          <w:tcPr>
            <w:tcW w:w="1134" w:type="dxa"/>
            <w:vMerge w:val="restart"/>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政府采购目录序号</w:t>
            </w:r>
          </w:p>
        </w:tc>
        <w:tc>
          <w:tcPr>
            <w:tcW w:w="709" w:type="dxa"/>
            <w:vMerge w:val="restart"/>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计量  单位</w:t>
            </w:r>
          </w:p>
        </w:tc>
        <w:tc>
          <w:tcPr>
            <w:tcW w:w="850" w:type="dxa"/>
            <w:vMerge w:val="restart"/>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数量</w:t>
            </w:r>
          </w:p>
        </w:tc>
        <w:tc>
          <w:tcPr>
            <w:tcW w:w="850" w:type="dxa"/>
            <w:vMerge w:val="restart"/>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单价</w:t>
            </w:r>
          </w:p>
        </w:tc>
        <w:tc>
          <w:tcPr>
            <w:tcW w:w="7712" w:type="dxa"/>
            <w:gridSpan w:val="8"/>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政府采购金额（当年</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预算安排资金）</w:t>
            </w:r>
          </w:p>
        </w:tc>
        <w:tc>
          <w:tcPr>
            <w:tcW w:w="964" w:type="dxa"/>
            <w:vMerge w:val="restart"/>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项目名称</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预算    资金</w:t>
            </w:r>
          </w:p>
        </w:tc>
        <w:tc>
          <w:tcPr>
            <w:tcW w:w="1134" w:type="dxa"/>
            <w:vMerge w:val="continue"/>
            <w:vAlign w:val="top"/>
          </w:tcPr>
          <w:p>
            <w:pPr>
              <w:rPr>
                <w:rFonts w:hint="eastAsia" w:ascii="仿宋" w:hAnsi="仿宋" w:eastAsia="仿宋" w:cs="仿宋"/>
                <w:color w:val="auto"/>
                <w:sz w:val="32"/>
                <w:szCs w:val="32"/>
              </w:rPr>
            </w:pPr>
          </w:p>
        </w:tc>
        <w:tc>
          <w:tcPr>
            <w:tcW w:w="1134" w:type="dxa"/>
            <w:vMerge w:val="continue"/>
            <w:vAlign w:val="top"/>
          </w:tcPr>
          <w:p>
            <w:pPr>
              <w:rPr>
                <w:rFonts w:hint="eastAsia" w:ascii="仿宋" w:hAnsi="仿宋" w:eastAsia="仿宋" w:cs="仿宋"/>
                <w:color w:val="auto"/>
                <w:sz w:val="32"/>
                <w:szCs w:val="32"/>
              </w:rPr>
            </w:pPr>
          </w:p>
        </w:tc>
        <w:tc>
          <w:tcPr>
            <w:tcW w:w="709" w:type="dxa"/>
            <w:vMerge w:val="continue"/>
            <w:vAlign w:val="top"/>
          </w:tcPr>
          <w:p>
            <w:pPr>
              <w:rPr>
                <w:rFonts w:hint="eastAsia" w:ascii="仿宋" w:hAnsi="仿宋" w:eastAsia="仿宋" w:cs="仿宋"/>
                <w:color w:val="auto"/>
                <w:sz w:val="32"/>
                <w:szCs w:val="32"/>
              </w:rPr>
            </w:pPr>
          </w:p>
        </w:tc>
        <w:tc>
          <w:tcPr>
            <w:tcW w:w="850" w:type="dxa"/>
            <w:vMerge w:val="continue"/>
            <w:vAlign w:val="top"/>
          </w:tcPr>
          <w:p>
            <w:pPr>
              <w:rPr>
                <w:rFonts w:hint="eastAsia" w:ascii="仿宋" w:hAnsi="仿宋" w:eastAsia="仿宋" w:cs="仿宋"/>
                <w:color w:val="auto"/>
                <w:sz w:val="32"/>
                <w:szCs w:val="32"/>
              </w:rPr>
            </w:pPr>
          </w:p>
        </w:tc>
        <w:tc>
          <w:tcPr>
            <w:tcW w:w="850" w:type="dxa"/>
            <w:vMerge w:val="continue"/>
            <w:vAlign w:val="top"/>
          </w:tcPr>
          <w:p>
            <w:pPr>
              <w:rPr>
                <w:rFonts w:hint="eastAsia" w:ascii="仿宋" w:hAnsi="仿宋" w:eastAsia="仿宋" w:cs="仿宋"/>
                <w:color w:val="auto"/>
                <w:sz w:val="32"/>
                <w:szCs w:val="32"/>
              </w:rPr>
            </w:pP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合计</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一般公共预算拨款</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基金预算拨款</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国有资本经营预算拨款</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财政专户核拨</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单位    资金</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财政拨    款结转</w:t>
            </w:r>
          </w:p>
        </w:tc>
        <w:tc>
          <w:tcPr>
            <w:tcW w:w="964"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非财政    拨款结    转结余</w:t>
            </w:r>
          </w:p>
        </w:tc>
        <w:tc>
          <w:tcPr>
            <w:tcW w:w="964" w:type="dxa"/>
            <w:vMerge w:val="continue"/>
            <w:vAlign w:val="top"/>
          </w:tcPr>
          <w:p>
            <w:pPr>
              <w:rPr>
                <w:rFonts w:hint="eastAsia" w:ascii="仿宋" w:hAnsi="仿宋" w:eastAsia="仿宋" w:cs="仿宋"/>
                <w:color w:val="auto"/>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1134" w:type="dxa"/>
            <w:vAlign w:val="center"/>
          </w:tcPr>
          <w:p>
            <w:pPr>
              <w:pStyle w:val="16"/>
              <w:rPr>
                <w:rFonts w:hint="eastAsia" w:ascii="仿宋" w:hAnsi="仿宋" w:eastAsia="仿宋" w:cs="仿宋"/>
                <w:color w:val="auto"/>
                <w:sz w:val="32"/>
                <w:szCs w:val="32"/>
              </w:rPr>
            </w:pPr>
          </w:p>
        </w:tc>
        <w:tc>
          <w:tcPr>
            <w:tcW w:w="1134" w:type="dxa"/>
            <w:vAlign w:val="center"/>
          </w:tcPr>
          <w:p>
            <w:pPr>
              <w:pStyle w:val="16"/>
              <w:rPr>
                <w:rFonts w:hint="eastAsia" w:ascii="仿宋" w:hAnsi="仿宋" w:eastAsia="仿宋" w:cs="仿宋"/>
                <w:color w:val="auto"/>
                <w:sz w:val="32"/>
                <w:szCs w:val="32"/>
              </w:rPr>
            </w:pPr>
          </w:p>
        </w:tc>
        <w:tc>
          <w:tcPr>
            <w:tcW w:w="709" w:type="dxa"/>
            <w:vAlign w:val="center"/>
          </w:tcPr>
          <w:p>
            <w:pPr>
              <w:pStyle w:val="17"/>
              <w:rPr>
                <w:rFonts w:hint="eastAsia" w:ascii="仿宋" w:hAnsi="仿宋" w:eastAsia="仿宋" w:cs="仿宋"/>
                <w:color w:val="auto"/>
                <w:sz w:val="32"/>
                <w:szCs w:val="32"/>
              </w:rPr>
            </w:pPr>
          </w:p>
        </w:tc>
        <w:tc>
          <w:tcPr>
            <w:tcW w:w="850" w:type="dxa"/>
            <w:vAlign w:val="center"/>
          </w:tcPr>
          <w:p>
            <w:pPr>
              <w:pStyle w:val="15"/>
              <w:rPr>
                <w:rFonts w:hint="eastAsia" w:ascii="仿宋" w:hAnsi="仿宋" w:eastAsia="仿宋" w:cs="仿宋"/>
                <w:color w:val="auto"/>
                <w:sz w:val="32"/>
                <w:szCs w:val="32"/>
              </w:rPr>
            </w:pPr>
          </w:p>
        </w:tc>
        <w:tc>
          <w:tcPr>
            <w:tcW w:w="850"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c>
          <w:tcPr>
            <w:tcW w:w="964" w:type="dxa"/>
            <w:vAlign w:val="center"/>
          </w:tcPr>
          <w:p>
            <w:pPr>
              <w:pStyle w:val="15"/>
              <w:rPr>
                <w:rFonts w:hint="eastAsia" w:ascii="仿宋" w:hAnsi="仿宋" w:eastAsia="仿宋" w:cs="仿宋"/>
                <w:color w:val="auto"/>
                <w:sz w:val="32"/>
                <w:szCs w:val="32"/>
              </w:rPr>
            </w:pPr>
          </w:p>
        </w:tc>
      </w:tr>
    </w:tbl>
    <w:p>
      <w:pPr>
        <w:spacing w:line="500" w:lineRule="exact"/>
        <w:ind w:firstLine="420"/>
        <w:rPr>
          <w:rFonts w:hint="eastAsia" w:ascii="仿宋" w:hAnsi="仿宋" w:eastAsia="仿宋" w:cs="仿宋"/>
          <w:color w:val="auto"/>
          <w:sz w:val="32"/>
          <w:szCs w:val="32"/>
        </w:rPr>
      </w:pPr>
      <w:r>
        <w:rPr>
          <w:rFonts w:hint="eastAsia" w:ascii="仿宋" w:hAnsi="仿宋" w:eastAsia="仿宋" w:cs="仿宋"/>
          <w:color w:val="auto"/>
          <w:sz w:val="32"/>
          <w:szCs w:val="32"/>
        </w:rPr>
        <w:t>注：同一采购目录序号的物品，其单价会因配置规格不同而变动，均符合资产配置标准。涉密采购事项按照相关规定执行。</w:t>
      </w:r>
    </w:p>
    <w:p>
      <w:pPr>
        <w:ind w:firstLine="420"/>
        <w:rPr>
          <w:rFonts w:hint="eastAsia" w:ascii="仿宋" w:hAnsi="仿宋" w:eastAsia="仿宋" w:cs="仿宋"/>
          <w:color w:val="auto"/>
          <w:sz w:val="32"/>
          <w:szCs w:val="32"/>
        </w:rPr>
      </w:pPr>
      <w:r>
        <w:rPr>
          <w:rFonts w:hint="eastAsia" w:ascii="仿宋" w:hAnsi="仿宋" w:eastAsia="仿宋" w:cs="仿宋"/>
          <w:color w:val="auto"/>
          <w:sz w:val="32"/>
          <w:szCs w:val="32"/>
        </w:rPr>
        <w:t>注：无政府采购预算，空表列示。</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 xml:space="preserve"> 七、国有资产信息</w:t>
      </w:r>
    </w:p>
    <w:p>
      <w:pPr>
        <w:spacing w:line="50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沙河市住房和城乡建设局（含所属单位）上年末固定资产金额为</w:t>
      </w:r>
      <w:r>
        <w:rPr>
          <w:rFonts w:hint="eastAsia" w:ascii="仿宋" w:hAnsi="仿宋" w:eastAsia="仿宋" w:cs="仿宋"/>
          <w:color w:val="auto"/>
          <w:sz w:val="32"/>
          <w:szCs w:val="32"/>
          <w:lang w:val="en-US" w:eastAsia="zh-CN"/>
        </w:rPr>
        <w:t>3367.78</w:t>
      </w:r>
      <w:r>
        <w:rPr>
          <w:rFonts w:hint="eastAsia" w:ascii="仿宋" w:hAnsi="仿宋" w:eastAsia="仿宋" w:cs="仿宋"/>
          <w:color w:val="auto"/>
          <w:sz w:val="32"/>
          <w:szCs w:val="32"/>
        </w:rPr>
        <w:t>万元（详见下表）。本年度拟购置固定资产总额为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万元，已按要求列入政府采购预算，详见政府采购预算表。</w:t>
      </w:r>
    </w:p>
    <w:p>
      <w:pPr>
        <w:jc w:val="cente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eastAsia" w:ascii="仿宋" w:hAnsi="仿宋" w:eastAsia="仿宋" w:cs="仿宋"/>
                <w:color w:val="auto"/>
                <w:sz w:val="32"/>
                <w:szCs w:val="32"/>
              </w:rPr>
            </w:pPr>
            <w:r>
              <w:rPr>
                <w:rFonts w:hint="eastAsia" w:ascii="仿宋" w:hAnsi="仿宋" w:eastAsia="仿宋" w:cs="仿宋"/>
                <w:color w:val="auto"/>
                <w:sz w:val="32"/>
                <w:szCs w:val="32"/>
              </w:rPr>
              <w:t>177沙河市住房和城乡建设局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11"/>
              <w:rPr>
                <w:rFonts w:hint="eastAsia" w:ascii="仿宋" w:hAnsi="仿宋" w:eastAsia="仿宋" w:cs="仿宋"/>
                <w:color w:val="auto"/>
                <w:sz w:val="32"/>
                <w:szCs w:val="32"/>
              </w:rPr>
            </w:pPr>
            <w:r>
              <w:rPr>
                <w:rFonts w:hint="eastAsia" w:ascii="仿宋" w:hAnsi="仿宋" w:eastAsia="仿宋" w:cs="仿宋"/>
                <w:color w:val="auto"/>
                <w:sz w:val="32"/>
                <w:szCs w:val="32"/>
              </w:rPr>
              <w:t>截止时间：202</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项   目</w:t>
            </w:r>
          </w:p>
        </w:tc>
        <w:tc>
          <w:tcPr>
            <w:tcW w:w="2835"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数量</w:t>
            </w:r>
          </w:p>
        </w:tc>
        <w:tc>
          <w:tcPr>
            <w:tcW w:w="2835" w:type="dxa"/>
            <w:vAlign w:val="center"/>
          </w:tcPr>
          <w:p>
            <w:pPr>
              <w:pStyle w:val="14"/>
              <w:rPr>
                <w:rFonts w:hint="eastAsia" w:ascii="仿宋" w:hAnsi="仿宋" w:eastAsia="仿宋" w:cs="仿宋"/>
                <w:color w:val="auto"/>
                <w:sz w:val="32"/>
                <w:szCs w:val="32"/>
              </w:rPr>
            </w:pPr>
            <w:r>
              <w:rPr>
                <w:rFonts w:hint="eastAsia" w:ascii="仿宋" w:hAnsi="仿宋" w:eastAsia="仿宋" w:cs="仿宋"/>
                <w:color w:val="auto"/>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color w:val="auto"/>
                <w:sz w:val="32"/>
                <w:szCs w:val="32"/>
              </w:rPr>
            </w:pPr>
            <w:r>
              <w:rPr>
                <w:rFonts w:hint="eastAsia" w:ascii="仿宋" w:hAnsi="仿宋" w:eastAsia="仿宋" w:cs="仿宋"/>
                <w:color w:val="auto"/>
                <w:sz w:val="32"/>
                <w:szCs w:val="32"/>
              </w:rPr>
              <w:t>资产总额</w:t>
            </w:r>
          </w:p>
        </w:tc>
        <w:tc>
          <w:tcPr>
            <w:tcW w:w="2835" w:type="dxa"/>
            <w:vAlign w:val="center"/>
          </w:tcPr>
          <w:p>
            <w:pPr>
              <w:pStyle w:val="17"/>
              <w:rPr>
                <w:rFonts w:hint="eastAsia" w:ascii="仿宋" w:hAnsi="仿宋" w:eastAsia="仿宋" w:cs="仿宋"/>
                <w:color w:val="auto"/>
                <w:sz w:val="32"/>
                <w:szCs w:val="32"/>
              </w:rPr>
            </w:pPr>
          </w:p>
        </w:tc>
        <w:tc>
          <w:tcPr>
            <w:tcW w:w="2835" w:type="dxa"/>
            <w:vAlign w:val="center"/>
          </w:tcPr>
          <w:p>
            <w:pPr>
              <w:pStyle w:val="15"/>
              <w:rPr>
                <w:rFonts w:hint="eastAsia" w:ascii="仿宋" w:hAnsi="仿宋" w:eastAsia="仿宋" w:cs="仿宋"/>
                <w:color w:val="auto"/>
                <w:sz w:val="32"/>
                <w:szCs w:val="32"/>
              </w:rPr>
            </w:pPr>
            <w:r>
              <w:rPr>
                <w:rFonts w:hint="eastAsia" w:ascii="仿宋" w:hAnsi="仿宋" w:eastAsia="仿宋" w:cs="仿宋"/>
                <w:color w:val="auto"/>
                <w:sz w:val="32"/>
                <w:szCs w:val="32"/>
              </w:rPr>
              <w:t>3386.13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color w:val="auto"/>
                <w:sz w:val="32"/>
                <w:szCs w:val="32"/>
              </w:rPr>
            </w:pPr>
            <w:r>
              <w:rPr>
                <w:rFonts w:hint="eastAsia" w:ascii="仿宋" w:hAnsi="仿宋" w:eastAsia="仿宋" w:cs="仿宋"/>
                <w:color w:val="auto"/>
                <w:sz w:val="32"/>
                <w:szCs w:val="32"/>
              </w:rPr>
              <w:t>1、房屋（平方米）</w:t>
            </w:r>
          </w:p>
        </w:tc>
        <w:tc>
          <w:tcPr>
            <w:tcW w:w="2835" w:type="dxa"/>
            <w:vAlign w:val="center"/>
          </w:tcPr>
          <w:p>
            <w:pPr>
              <w:pStyle w:val="17"/>
              <w:rPr>
                <w:rFonts w:hint="eastAsia" w:ascii="仿宋" w:hAnsi="仿宋" w:eastAsia="仿宋" w:cs="仿宋"/>
                <w:color w:val="auto"/>
                <w:sz w:val="32"/>
                <w:szCs w:val="32"/>
              </w:rPr>
            </w:pPr>
            <w:r>
              <w:rPr>
                <w:rFonts w:hint="eastAsia" w:ascii="仿宋" w:hAnsi="仿宋" w:eastAsia="仿宋" w:cs="仿宋"/>
                <w:color w:val="auto"/>
                <w:sz w:val="32"/>
                <w:szCs w:val="32"/>
              </w:rPr>
              <w:t>2896</w:t>
            </w:r>
          </w:p>
        </w:tc>
        <w:tc>
          <w:tcPr>
            <w:tcW w:w="2835" w:type="dxa"/>
            <w:vAlign w:val="center"/>
          </w:tcPr>
          <w:p>
            <w:pPr>
              <w:pStyle w:val="15"/>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color w:val="auto"/>
                <w:sz w:val="32"/>
                <w:szCs w:val="32"/>
              </w:rPr>
            </w:pPr>
            <w:r>
              <w:rPr>
                <w:rFonts w:hint="eastAsia" w:ascii="仿宋" w:hAnsi="仿宋" w:eastAsia="仿宋" w:cs="仿宋"/>
                <w:color w:val="auto"/>
                <w:sz w:val="32"/>
                <w:szCs w:val="32"/>
              </w:rPr>
              <w:t>　　其中：办公用房（平方米）</w:t>
            </w:r>
          </w:p>
        </w:tc>
        <w:tc>
          <w:tcPr>
            <w:tcW w:w="2835" w:type="dxa"/>
            <w:vAlign w:val="center"/>
          </w:tcPr>
          <w:p>
            <w:pPr>
              <w:pStyle w:val="17"/>
              <w:rPr>
                <w:rFonts w:hint="eastAsia" w:ascii="仿宋" w:hAnsi="仿宋" w:eastAsia="仿宋" w:cs="仿宋"/>
                <w:color w:val="auto"/>
                <w:sz w:val="32"/>
                <w:szCs w:val="32"/>
              </w:rPr>
            </w:pPr>
            <w:r>
              <w:rPr>
                <w:rFonts w:hint="eastAsia" w:ascii="仿宋" w:hAnsi="仿宋" w:eastAsia="仿宋" w:cs="仿宋"/>
                <w:color w:val="auto"/>
                <w:sz w:val="32"/>
                <w:szCs w:val="32"/>
              </w:rPr>
              <w:t>2896</w:t>
            </w:r>
          </w:p>
        </w:tc>
        <w:tc>
          <w:tcPr>
            <w:tcW w:w="2835" w:type="dxa"/>
            <w:vAlign w:val="center"/>
          </w:tcPr>
          <w:p>
            <w:pPr>
              <w:pStyle w:val="15"/>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color w:val="auto"/>
                <w:sz w:val="32"/>
                <w:szCs w:val="32"/>
              </w:rPr>
            </w:pPr>
            <w:r>
              <w:rPr>
                <w:rFonts w:hint="eastAsia" w:ascii="仿宋" w:hAnsi="仿宋" w:eastAsia="仿宋" w:cs="仿宋"/>
                <w:color w:val="auto"/>
                <w:sz w:val="32"/>
                <w:szCs w:val="32"/>
              </w:rPr>
              <w:t>2、车辆（台、辆）</w:t>
            </w:r>
          </w:p>
        </w:tc>
        <w:tc>
          <w:tcPr>
            <w:tcW w:w="2835" w:type="dxa"/>
            <w:vAlign w:val="center"/>
          </w:tcPr>
          <w:p>
            <w:pPr>
              <w:pStyle w:val="17"/>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2835" w:type="dxa"/>
            <w:vAlign w:val="center"/>
          </w:tcPr>
          <w:p>
            <w:pPr>
              <w:pStyle w:val="15"/>
              <w:rPr>
                <w:rFonts w:hint="eastAsia" w:ascii="仿宋" w:hAnsi="仿宋" w:eastAsia="仿宋" w:cs="仿宋"/>
                <w:color w:val="auto"/>
                <w:sz w:val="32"/>
                <w:szCs w:val="32"/>
              </w:rPr>
            </w:pPr>
            <w:r>
              <w:rPr>
                <w:rFonts w:hint="eastAsia" w:ascii="仿宋" w:hAnsi="仿宋" w:eastAsia="仿宋" w:cs="仿宋"/>
                <w:color w:val="auto"/>
                <w:sz w:val="32"/>
                <w:szCs w:val="32"/>
              </w:rPr>
              <w:t>60.83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color w:val="auto"/>
                <w:sz w:val="32"/>
                <w:szCs w:val="32"/>
              </w:rPr>
            </w:pPr>
            <w:r>
              <w:rPr>
                <w:rFonts w:hint="eastAsia" w:ascii="仿宋" w:hAnsi="仿宋" w:eastAsia="仿宋" w:cs="仿宋"/>
                <w:color w:val="auto"/>
                <w:sz w:val="32"/>
                <w:szCs w:val="32"/>
              </w:rPr>
              <w:t>3、单价在20万元以上的设备</w:t>
            </w:r>
          </w:p>
        </w:tc>
        <w:tc>
          <w:tcPr>
            <w:tcW w:w="2835" w:type="dxa"/>
            <w:vAlign w:val="center"/>
          </w:tcPr>
          <w:p>
            <w:pPr>
              <w:pStyle w:val="17"/>
              <w:rPr>
                <w:rFonts w:hint="eastAsia" w:ascii="仿宋" w:hAnsi="仿宋" w:eastAsia="仿宋" w:cs="仿宋"/>
                <w:color w:val="auto"/>
                <w:sz w:val="32"/>
                <w:szCs w:val="32"/>
              </w:rPr>
            </w:pPr>
          </w:p>
        </w:tc>
        <w:tc>
          <w:tcPr>
            <w:tcW w:w="2835" w:type="dxa"/>
            <w:vAlign w:val="center"/>
          </w:tcPr>
          <w:p>
            <w:pPr>
              <w:pStyle w:val="15"/>
              <w:rPr>
                <w:rFonts w:hint="eastAsia" w:ascii="仿宋" w:hAnsi="仿宋" w:eastAsia="仿宋" w:cs="仿宋"/>
                <w:color w:val="auto"/>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color w:val="auto"/>
                <w:sz w:val="32"/>
                <w:szCs w:val="32"/>
              </w:rPr>
            </w:pPr>
            <w:r>
              <w:rPr>
                <w:rFonts w:hint="eastAsia" w:ascii="仿宋" w:hAnsi="仿宋" w:eastAsia="仿宋" w:cs="仿宋"/>
                <w:color w:val="auto"/>
                <w:sz w:val="32"/>
                <w:szCs w:val="32"/>
              </w:rPr>
              <w:t>4、其他固定资产</w:t>
            </w:r>
          </w:p>
        </w:tc>
        <w:tc>
          <w:tcPr>
            <w:tcW w:w="2835" w:type="dxa"/>
            <w:vAlign w:val="center"/>
          </w:tcPr>
          <w:p>
            <w:pPr>
              <w:pStyle w:val="17"/>
              <w:rPr>
                <w:rFonts w:hint="eastAsia" w:ascii="仿宋" w:hAnsi="仿宋" w:eastAsia="仿宋" w:cs="仿宋"/>
                <w:color w:val="auto"/>
                <w:sz w:val="32"/>
                <w:szCs w:val="32"/>
              </w:rPr>
            </w:pPr>
            <w:r>
              <w:rPr>
                <w:rFonts w:hint="eastAsia" w:ascii="仿宋" w:hAnsi="仿宋" w:eastAsia="仿宋" w:cs="仿宋"/>
                <w:color w:val="auto"/>
                <w:sz w:val="32"/>
                <w:szCs w:val="32"/>
              </w:rPr>
              <w:t>351</w:t>
            </w:r>
          </w:p>
        </w:tc>
        <w:tc>
          <w:tcPr>
            <w:tcW w:w="2835" w:type="dxa"/>
            <w:vAlign w:val="center"/>
          </w:tcPr>
          <w:p>
            <w:pPr>
              <w:pStyle w:val="15"/>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177.14</w:t>
            </w:r>
          </w:p>
        </w:tc>
      </w:tr>
    </w:tbl>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spacing w:before="10" w:after="10"/>
        <w:ind w:firstLine="640"/>
        <w:outlineLvl w:val="2"/>
        <w:rPr>
          <w:rFonts w:hint="eastAsia" w:ascii="仿宋" w:hAnsi="仿宋" w:eastAsia="仿宋" w:cs="仿宋"/>
          <w:sz w:val="32"/>
          <w:szCs w:val="32"/>
        </w:rPr>
      </w:pPr>
      <w:r>
        <w:rPr>
          <w:rFonts w:hint="eastAsia" w:ascii="仿宋" w:hAnsi="仿宋" w:eastAsia="仿宋" w:cs="仿宋"/>
          <w:color w:val="000000"/>
          <w:sz w:val="32"/>
          <w:szCs w:val="32"/>
        </w:rPr>
        <w:t>八、名词解释</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纳入省级财政预算管理的“三公”经费，是指省级</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before="10" w:after="10"/>
        <w:ind w:firstLine="640"/>
        <w:outlineLvl w:val="2"/>
        <w:rPr>
          <w:rFonts w:hint="eastAsia" w:ascii="仿宋" w:hAnsi="仿宋" w:eastAsia="仿宋" w:cs="仿宋"/>
          <w:sz w:val="32"/>
          <w:szCs w:val="32"/>
        </w:rPr>
      </w:pPr>
      <w:r>
        <w:rPr>
          <w:rFonts w:hint="eastAsia" w:ascii="仿宋" w:hAnsi="仿宋" w:eastAsia="仿宋" w:cs="仿宋"/>
          <w:color w:val="000000"/>
          <w:sz w:val="32"/>
          <w:szCs w:val="32"/>
        </w:rPr>
        <w:t>九、其他需要说明的事项</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823C4"/>
    <w:multiLevelType w:val="singleLevel"/>
    <w:tmpl w:val="F22823C4"/>
    <w:lvl w:ilvl="0" w:tentative="0">
      <w:start w:val="3"/>
      <w:numFmt w:val="chineseCounting"/>
      <w:suff w:val="space"/>
      <w:lvlText w:val="第%1部分"/>
      <w:lvlJc w:val="left"/>
      <w:rPr>
        <w:rFonts w:hint="eastAsia"/>
      </w:rPr>
    </w:lvl>
  </w:abstractNum>
  <w:abstractNum w:abstractNumId="1">
    <w:nsid w:val="7F646DA9"/>
    <w:multiLevelType w:val="singleLevel"/>
    <w:tmpl w:val="7F646DA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ZDgzY2IwYTRhYTZjZjlkY2Q2MWQyMzllNWM2ZDYifQ=="/>
  </w:docVars>
  <w:rsids>
    <w:rsidRoot w:val="00EA7895"/>
    <w:rsid w:val="00467569"/>
    <w:rsid w:val="00724E61"/>
    <w:rsid w:val="00830076"/>
    <w:rsid w:val="00901F54"/>
    <w:rsid w:val="00B10CC1"/>
    <w:rsid w:val="00D95952"/>
    <w:rsid w:val="00EA7895"/>
    <w:rsid w:val="032B63E2"/>
    <w:rsid w:val="06BC4DD6"/>
    <w:rsid w:val="0A1D1998"/>
    <w:rsid w:val="0A9414F8"/>
    <w:rsid w:val="13FB1A23"/>
    <w:rsid w:val="18B8700C"/>
    <w:rsid w:val="1A430566"/>
    <w:rsid w:val="1A5B33F3"/>
    <w:rsid w:val="1AD544C6"/>
    <w:rsid w:val="21A732A4"/>
    <w:rsid w:val="239D28BC"/>
    <w:rsid w:val="245E74D2"/>
    <w:rsid w:val="25A55080"/>
    <w:rsid w:val="295B13A1"/>
    <w:rsid w:val="32E27D09"/>
    <w:rsid w:val="33202ED7"/>
    <w:rsid w:val="37E7683A"/>
    <w:rsid w:val="3A981786"/>
    <w:rsid w:val="429F402B"/>
    <w:rsid w:val="42BC5B26"/>
    <w:rsid w:val="44CB6012"/>
    <w:rsid w:val="494A2DD9"/>
    <w:rsid w:val="60E87DDB"/>
    <w:rsid w:val="63E236C8"/>
    <w:rsid w:val="66501E88"/>
    <w:rsid w:val="66DA06C8"/>
    <w:rsid w:val="699A0896"/>
    <w:rsid w:val="70E86A54"/>
    <w:rsid w:val="7B6D27CA"/>
    <w:rsid w:val="7FED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2022-07-28T08:56:26Z</dcterms:created>
  <dcterms:modified xsi:type="dcterms:W3CDTF">2022-07-28T00:56:26Z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2022-07-28T08:56:26Z</dcterms:created>
  <dcterms:modified xsi:type="dcterms:W3CDTF">2022-07-28T00:56:26Z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2022-07-28T08:56:26Z</dcterms:created>
  <dcterms:modified xsi:type="dcterms:W3CDTF">2022-07-28T00:56:26Z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2022-07-28T08:56:23Z</dcterms:created>
  <dcterms:modified xsi:type="dcterms:W3CDTF">2022-07-28T00:56:23Z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2022-07-28T08:56:27Z</dcterms:created>
  <dcterms:modified xsi:type="dcterms:W3CDTF">2022-07-28T00:56:27Z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2022-07-28T08:56:24Z</dcterms:created>
  <dcterms:modified xsi:type="dcterms:W3CDTF">2022-07-28T00:56:24Z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04C536C-EB24-4E9B-86F5-4B481114E5BE}">
  <ds:schemaRefs/>
</ds:datastoreItem>
</file>

<file path=customXml/itemProps10.xml><?xml version="1.0" encoding="utf-8"?>
<ds:datastoreItem xmlns:ds="http://schemas.openxmlformats.org/officeDocument/2006/customXml" ds:itemID="{93DE62CC-4928-46E0-99AE-423BD5251FAC}">
  <ds:schemaRefs/>
</ds:datastoreItem>
</file>

<file path=customXml/itemProps11.xml><?xml version="1.0" encoding="utf-8"?>
<ds:datastoreItem xmlns:ds="http://schemas.openxmlformats.org/officeDocument/2006/customXml" ds:itemID="{F236D02A-B77B-405A-9CF3-58564A1DD430}">
  <ds:schemaRefs/>
</ds:datastoreItem>
</file>

<file path=customXml/itemProps12.xml><?xml version="1.0" encoding="utf-8"?>
<ds:datastoreItem xmlns:ds="http://schemas.openxmlformats.org/officeDocument/2006/customXml" ds:itemID="{931EED02-C276-487D-940A-5E5A1162AC67}">
  <ds:schemaRefs/>
</ds:datastoreItem>
</file>

<file path=customXml/itemProps13.xml><?xml version="1.0" encoding="utf-8"?>
<ds:datastoreItem xmlns:ds="http://schemas.openxmlformats.org/officeDocument/2006/customXml" ds:itemID="{555C6385-DC41-43D9-B190-758EBE466B0A}">
  <ds:schemaRefs/>
</ds:datastoreItem>
</file>

<file path=customXml/itemProps14.xml><?xml version="1.0" encoding="utf-8"?>
<ds:datastoreItem xmlns:ds="http://schemas.openxmlformats.org/officeDocument/2006/customXml" ds:itemID="{0DB25699-C8E8-49B3-B59D-0316B7FF6993}">
  <ds:schemaRefs/>
</ds:datastoreItem>
</file>

<file path=customXml/itemProps15.xml><?xml version="1.0" encoding="utf-8"?>
<ds:datastoreItem xmlns:ds="http://schemas.openxmlformats.org/officeDocument/2006/customXml" ds:itemID="{A0D82D2A-DD72-46FD-BA78-72848DA1236B}">
  <ds:schemaRefs/>
</ds:datastoreItem>
</file>

<file path=customXml/itemProps16.xml><?xml version="1.0" encoding="utf-8"?>
<ds:datastoreItem xmlns:ds="http://schemas.openxmlformats.org/officeDocument/2006/customXml" ds:itemID="{DCBC7E5B-E763-4663-8DC1-84614C7E6F7B}">
  <ds:schemaRefs/>
</ds:datastoreItem>
</file>

<file path=customXml/itemProps17.xml><?xml version="1.0" encoding="utf-8"?>
<ds:datastoreItem xmlns:ds="http://schemas.openxmlformats.org/officeDocument/2006/customXml" ds:itemID="{B44C55DD-1D6A-4E8E-9B10-A3B5E6CAF2E3}">
  <ds:schemaRefs/>
</ds:datastoreItem>
</file>

<file path=customXml/itemProps18.xml><?xml version="1.0" encoding="utf-8"?>
<ds:datastoreItem xmlns:ds="http://schemas.openxmlformats.org/officeDocument/2006/customXml" ds:itemID="{3948E43E-0EE7-4DA7-A411-CDA2385135D5}">
  <ds:schemaRefs/>
</ds:datastoreItem>
</file>

<file path=customXml/itemProps19.xml><?xml version="1.0" encoding="utf-8"?>
<ds:datastoreItem xmlns:ds="http://schemas.openxmlformats.org/officeDocument/2006/customXml" ds:itemID="{0490EFCB-5B3D-41EC-BF66-A8FBB38EEB7A}">
  <ds:schemaRefs/>
</ds:datastoreItem>
</file>

<file path=customXml/itemProps2.xml><?xml version="1.0" encoding="utf-8"?>
<ds:datastoreItem xmlns:ds="http://schemas.openxmlformats.org/officeDocument/2006/customXml" ds:itemID="{F1ECD404-5B39-4A2A-A322-7237FF47F782}">
  <ds:schemaRefs/>
</ds:datastoreItem>
</file>

<file path=customXml/itemProps20.xml><?xml version="1.0" encoding="utf-8"?>
<ds:datastoreItem xmlns:ds="http://schemas.openxmlformats.org/officeDocument/2006/customXml" ds:itemID="{FD543331-66A3-4207-8410-9E4467C170E2}">
  <ds:schemaRefs/>
</ds:datastoreItem>
</file>

<file path=customXml/itemProps21.xml><?xml version="1.0" encoding="utf-8"?>
<ds:datastoreItem xmlns:ds="http://schemas.openxmlformats.org/officeDocument/2006/customXml" ds:itemID="{AEBE2DA3-2C61-4FE4-84EF-B0123B239CF3}">
  <ds:schemaRefs/>
</ds:datastoreItem>
</file>

<file path=customXml/itemProps22.xml><?xml version="1.0" encoding="utf-8"?>
<ds:datastoreItem xmlns:ds="http://schemas.openxmlformats.org/officeDocument/2006/customXml" ds:itemID="{45C3FB6C-8415-4D4F-91F0-B85DADC0547F}">
  <ds:schemaRefs/>
</ds:datastoreItem>
</file>

<file path=customXml/itemProps23.xml><?xml version="1.0" encoding="utf-8"?>
<ds:datastoreItem xmlns:ds="http://schemas.openxmlformats.org/officeDocument/2006/customXml" ds:itemID="{B9C6E4A6-4E6F-4B29-B49D-7E0554A6B3F1}">
  <ds:schemaRefs/>
</ds:datastoreItem>
</file>

<file path=customXml/itemProps24.xml><?xml version="1.0" encoding="utf-8"?>
<ds:datastoreItem xmlns:ds="http://schemas.openxmlformats.org/officeDocument/2006/customXml" ds:itemID="{E7084A4A-FF55-4DEA-8DDA-723CB3429165}">
  <ds:schemaRefs/>
</ds:datastoreItem>
</file>

<file path=customXml/itemProps25.xml><?xml version="1.0" encoding="utf-8"?>
<ds:datastoreItem xmlns:ds="http://schemas.openxmlformats.org/officeDocument/2006/customXml" ds:itemID="{44CC246B-F81F-4E6C-B685-5F873B411810}">
  <ds:schemaRefs/>
</ds:datastoreItem>
</file>

<file path=customXml/itemProps26.xml><?xml version="1.0" encoding="utf-8"?>
<ds:datastoreItem xmlns:ds="http://schemas.openxmlformats.org/officeDocument/2006/customXml" ds:itemID="{85852C54-E0C9-4639-9D1D-7E38EB49705E}">
  <ds:schemaRefs/>
</ds:datastoreItem>
</file>

<file path=customXml/itemProps27.xml><?xml version="1.0" encoding="utf-8"?>
<ds:datastoreItem xmlns:ds="http://schemas.openxmlformats.org/officeDocument/2006/customXml" ds:itemID="{80ECF57C-80D4-4CB6-BBB6-56B689D4E51E}">
  <ds:schemaRefs/>
</ds:datastoreItem>
</file>

<file path=customXml/itemProps28.xml><?xml version="1.0" encoding="utf-8"?>
<ds:datastoreItem xmlns:ds="http://schemas.openxmlformats.org/officeDocument/2006/customXml" ds:itemID="{08859F09-1D2B-4596-A81A-05208C548F73}">
  <ds:schemaRefs/>
</ds:datastoreItem>
</file>

<file path=customXml/itemProps29.xml><?xml version="1.0" encoding="utf-8"?>
<ds:datastoreItem xmlns:ds="http://schemas.openxmlformats.org/officeDocument/2006/customXml" ds:itemID="{A93CD139-170B-4DAF-97BB-4F838677AD51}">
  <ds:schemaRefs/>
</ds:datastoreItem>
</file>

<file path=customXml/itemProps3.xml><?xml version="1.0" encoding="utf-8"?>
<ds:datastoreItem xmlns:ds="http://schemas.openxmlformats.org/officeDocument/2006/customXml" ds:itemID="{9D2E7014-9EE0-4659-BDE5-6302688B9BE3}">
  <ds:schemaRefs/>
</ds:datastoreItem>
</file>

<file path=customXml/itemProps30.xml><?xml version="1.0" encoding="utf-8"?>
<ds:datastoreItem xmlns:ds="http://schemas.openxmlformats.org/officeDocument/2006/customXml" ds:itemID="{428203D0-C22E-4027-9F77-284ECA1CEB83}">
  <ds:schemaRefs/>
</ds:datastoreItem>
</file>

<file path=customXml/itemProps31.xml><?xml version="1.0" encoding="utf-8"?>
<ds:datastoreItem xmlns:ds="http://schemas.openxmlformats.org/officeDocument/2006/customXml" ds:itemID="{39873E7D-017E-4DD8-93BC-02078092F03F}">
  <ds:schemaRefs/>
</ds:datastoreItem>
</file>

<file path=customXml/itemProps32.xml><?xml version="1.0" encoding="utf-8"?>
<ds:datastoreItem xmlns:ds="http://schemas.openxmlformats.org/officeDocument/2006/customXml" ds:itemID="{9B93F4C6-86B5-413E-BE1C-44E25D9AA550}">
  <ds:schemaRefs/>
</ds:datastoreItem>
</file>

<file path=customXml/itemProps33.xml><?xml version="1.0" encoding="utf-8"?>
<ds:datastoreItem xmlns:ds="http://schemas.openxmlformats.org/officeDocument/2006/customXml" ds:itemID="{A92CD56D-B575-4CFC-B234-A3F1874FECAF}">
  <ds:schemaRefs/>
</ds:datastoreItem>
</file>

<file path=customXml/itemProps34.xml><?xml version="1.0" encoding="utf-8"?>
<ds:datastoreItem xmlns:ds="http://schemas.openxmlformats.org/officeDocument/2006/customXml" ds:itemID="{D765EC3F-7139-49C0-AA9B-29C6ABD8C749}">
  <ds:schemaRefs/>
</ds:datastoreItem>
</file>

<file path=customXml/itemProps35.xml><?xml version="1.0" encoding="utf-8"?>
<ds:datastoreItem xmlns:ds="http://schemas.openxmlformats.org/officeDocument/2006/customXml" ds:itemID="{4165685F-A92B-41FD-BA9E-C7C327191B08}">
  <ds:schemaRefs/>
</ds:datastoreItem>
</file>

<file path=customXml/itemProps36.xml><?xml version="1.0" encoding="utf-8"?>
<ds:datastoreItem xmlns:ds="http://schemas.openxmlformats.org/officeDocument/2006/customXml" ds:itemID="{F5A30C6B-88BF-4252-BBD0-1CB4C14EE3BB}">
  <ds:schemaRefs/>
</ds:datastoreItem>
</file>

<file path=customXml/itemProps37.xml><?xml version="1.0" encoding="utf-8"?>
<ds:datastoreItem xmlns:ds="http://schemas.openxmlformats.org/officeDocument/2006/customXml" ds:itemID="{8AF1581B-E27A-432E-96E7-624FEBDE090A}">
  <ds:schemaRefs/>
</ds:datastoreItem>
</file>

<file path=customXml/itemProps38.xml><?xml version="1.0" encoding="utf-8"?>
<ds:datastoreItem xmlns:ds="http://schemas.openxmlformats.org/officeDocument/2006/customXml" ds:itemID="{7B1D4DD1-1DB1-4271-BB1B-93C03151516F}">
  <ds:schemaRefs/>
</ds:datastoreItem>
</file>

<file path=customXml/itemProps39.xml><?xml version="1.0" encoding="utf-8"?>
<ds:datastoreItem xmlns:ds="http://schemas.openxmlformats.org/officeDocument/2006/customXml" ds:itemID="{F4144466-6AB4-4092-9E54-AC1F8303235A}">
  <ds:schemaRefs/>
</ds:datastoreItem>
</file>

<file path=customXml/itemProps4.xml><?xml version="1.0" encoding="utf-8"?>
<ds:datastoreItem xmlns:ds="http://schemas.openxmlformats.org/officeDocument/2006/customXml" ds:itemID="{723E4FE1-98B3-4985-91E6-7FFF2FBB3FB0}">
  <ds:schemaRefs/>
</ds:datastoreItem>
</file>

<file path=customXml/itemProps40.xml><?xml version="1.0" encoding="utf-8"?>
<ds:datastoreItem xmlns:ds="http://schemas.openxmlformats.org/officeDocument/2006/customXml" ds:itemID="{4F001A7F-71A6-49A9-91A2-F30BBB5C4DCF}">
  <ds:schemaRefs/>
</ds:datastoreItem>
</file>

<file path=customXml/itemProps41.xml><?xml version="1.0" encoding="utf-8"?>
<ds:datastoreItem xmlns:ds="http://schemas.openxmlformats.org/officeDocument/2006/customXml" ds:itemID="{D0BB25F8-ED4F-4A3E-9514-29B0F9DCEBC4}">
  <ds:schemaRefs/>
</ds:datastoreItem>
</file>

<file path=customXml/itemProps42.xml><?xml version="1.0" encoding="utf-8"?>
<ds:datastoreItem xmlns:ds="http://schemas.openxmlformats.org/officeDocument/2006/customXml" ds:itemID="{32096594-9F1A-4AE7-B717-10F80402A334}">
  <ds:schemaRefs/>
</ds:datastoreItem>
</file>

<file path=customXml/itemProps5.xml><?xml version="1.0" encoding="utf-8"?>
<ds:datastoreItem xmlns:ds="http://schemas.openxmlformats.org/officeDocument/2006/customXml" ds:itemID="{FCA2B807-FFDE-4438-B0A5-43EEA4B02D63}">
  <ds:schemaRefs/>
</ds:datastoreItem>
</file>

<file path=customXml/itemProps6.xml><?xml version="1.0" encoding="utf-8"?>
<ds:datastoreItem xmlns:ds="http://schemas.openxmlformats.org/officeDocument/2006/customXml" ds:itemID="{90DAD7DB-6F8F-4569-B5CC-EAE8CF1EE496}">
  <ds:schemaRefs/>
</ds:datastoreItem>
</file>

<file path=customXml/itemProps7.xml><?xml version="1.0" encoding="utf-8"?>
<ds:datastoreItem xmlns:ds="http://schemas.openxmlformats.org/officeDocument/2006/customXml" ds:itemID="{30427AC6-80DA-4187-9A0B-059F3140DB27}">
  <ds:schemaRefs/>
</ds:datastoreItem>
</file>

<file path=customXml/itemProps8.xml><?xml version="1.0" encoding="utf-8"?>
<ds:datastoreItem xmlns:ds="http://schemas.openxmlformats.org/officeDocument/2006/customXml" ds:itemID="{0AC16B82-F2A9-429E-BDE0-3EB83F610C28}">
  <ds:schemaRefs/>
</ds:datastoreItem>
</file>

<file path=customXml/itemProps9.xml><?xml version="1.0" encoding="utf-8"?>
<ds:datastoreItem xmlns:ds="http://schemas.openxmlformats.org/officeDocument/2006/customXml" ds:itemID="{519BF695-51A0-4EB8-A1BC-A2F1A94148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4186</Words>
  <Characters>23861</Characters>
  <Lines>198</Lines>
  <Paragraphs>55</Paragraphs>
  <TotalTime>2</TotalTime>
  <ScaleCrop>false</ScaleCrop>
  <LinksUpToDate>false</LinksUpToDate>
  <CharactersWithSpaces>27992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2022-07-28T00:56:00Z</dcterms:created>
  <dc:creator>Administrator</dc:creator>
  <cp:lastModifiedBy>不二臣</cp:lastModifiedBy>
  <cp:lastPrinted>2022-09-17T04:40:00Z</cp:lastPrinted>
  <dcterms:modified xsi:type="dcterms:W3CDTF">2024-09-06T07:08:12Z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620C494AC65F41568BE0DDDF1421676D_12</vt:lpwstr>
  </property>
</Properties>
</file>