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color w:val="000000"/>
          <w:kern w:val="0"/>
          <w:sz w:val="32"/>
          <w:szCs w:val="32"/>
          <w:u w:val="none"/>
          <w:lang w:val="en-US" w:eastAsia="zh-CN" w:bidi="ar"/>
        </w:rPr>
      </w:pPr>
      <w:r>
        <w:rPr>
          <w:rFonts w:hint="eastAsia" w:ascii="方正小标宋简体" w:hAnsi="方正小标宋简体" w:eastAsia="方正小标宋简体" w:cs="方正小标宋简体"/>
          <w:i w:val="0"/>
          <w:color w:val="000000"/>
          <w:kern w:val="0"/>
          <w:sz w:val="32"/>
          <w:szCs w:val="32"/>
          <w:u w:val="none"/>
          <w:lang w:val="en-US" w:eastAsia="zh-CN" w:bidi="ar"/>
        </w:rPr>
        <w:t>沙河市科技和工业信息化局2025年涉企行政检查计划及检查频次上限</w:t>
      </w:r>
      <w:bookmarkStart w:id="0" w:name="_GoBack"/>
      <w:bookmarkEnd w:id="0"/>
    </w:p>
    <w:tbl>
      <w:tblPr>
        <w:tblStyle w:val="4"/>
        <w:tblW w:w="140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0"/>
        <w:gridCol w:w="1260"/>
        <w:gridCol w:w="9300"/>
        <w:gridCol w:w="1710"/>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事项名称</w:t>
            </w:r>
          </w:p>
        </w:tc>
        <w:tc>
          <w:tcPr>
            <w:tcW w:w="9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检查依据</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实施主体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对食盐经营秩序的检查</w:t>
            </w:r>
          </w:p>
        </w:tc>
        <w:tc>
          <w:tcPr>
            <w:tcW w:w="9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食盐专营办法》（国务院令第696号）第四条:国务院盐业主管部门主管全国盐业工作，负责管理全国食盐专营工作。县级以上地方人民政府确定的盐业主管部门负责管理本行政区域的食盐专营工作。第二十三条:盐业主管部门依法履行监督检查职责，可以采取下列措施：（一）向有关单位和个人了解情况；（二）查阅或者复制有关合同、票据、账簿、购销记录及其他有关资料；（三）查封、扣押与涉嫌盐业违法行为有关的食盐及原材料，以及用于违法生产或者销售食盐的工具、设备；（四）查封涉嫌违法生产或者销售食盐的场所。采取前款第三项、第四项规定的措施，应当向盐业主管部门主要负责人书面报告，并经批准。盐业主管部门调查涉嫌盐业违法行为，应当遵守《中华人民共和国行政强制法》和其他有关法律、行政法规的规定。</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《河北省食盐专营管理实施办法》（河北省人民政府令〔2022〕第 2 号）第二十九条:县级以上人民政府盐业主管部门应当加强食盐生产销售情况的监测分析、预警研判，及时掌握食盐市场供需情况。食盐定点生产企业、食盐定点批发企业应当按照国家有关规定，将生产销售信息告知所在地县级人民政府盐业主管部门。第三十条:省人民政府盐业主管部门应当建立完善食盐追溯管理平台，加强对食盐生产、批发、贮存、零售等信息的管理，实现食盐来源可追溯和流向可查询。第三十一条:县级以上人民政府盐业主管部门和有关部门应当依法规范食盐生产经营行为，发现食盐生产经营过程中存在食盐安全隐患，未及时采取措施消除的，可以约谈相关食盐经营者。食盐经营者应当立即采取措施，进行整改，消除隐患。对存在严重违法失信行为的企业和个人依法实施联合惩戒。第三十二条:县级以上人民政府盐业主管部门履行监督检查职责，可以依法采取下列措施：（一）向有关单位和个人了解情况;（二）查阅或者复制有关合同、票据、账簿、购销记录及其他有关资料；（三）查封、扣押与涉嫌盐业违法行为有关的食盐及原材料，以及用于违法生产或者销售食盐的工具、设备；（四）查封涉嫌违法生产或者销售食盐的场所。采取前款第三项、第四项规定的措施，应当向盐业主管部门主要负责人书面报告，并经批准。盐业主管部门调查涉嫌盐业违法行为，应当遵守《中华人民共和国行政强制法》和其他有关法律、法规的规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color w:val="auto"/>
                <w:sz w:val="20"/>
                <w:szCs w:val="20"/>
                <w:lang w:val="en-US" w:eastAsia="zh-CN" w:bidi="ar"/>
              </w:rPr>
            </w:pPr>
            <w:r>
              <w:rPr>
                <w:rStyle w:val="7"/>
                <w:rFonts w:hint="eastAsia"/>
                <w:color w:val="auto"/>
                <w:lang w:val="en-US" w:eastAsia="zh-CN" w:bidi="ar"/>
              </w:rPr>
              <w:t>沙河市科技和工业信息化局</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color w:val="auto"/>
                <w:lang w:val="en-US" w:eastAsia="zh-CN" w:bidi="ar"/>
              </w:rPr>
            </w:pPr>
            <w:r>
              <w:rPr>
                <w:rStyle w:val="7"/>
                <w:rFonts w:hint="eastAsia"/>
                <w:color w:val="auto"/>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对工业企业料堆场未采取有效措施防治扬尘污染的行政检查</w:t>
            </w:r>
          </w:p>
        </w:tc>
        <w:tc>
          <w:tcPr>
            <w:tcW w:w="9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《河北省大气污染防治条例》第五条  县级以上人民政府环境保护主管部门对本行政区域内的大气污染防治实施统一监督管理。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县级以上人民政府其他有关部门在各自职责范围内对大气污染防治实施监督管理：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一)县级以上人民政府发展和改革、工业和信息化部门负责煤炭消费总量控制，优化产业和能源结构以及布局调整，组织推动工业企业技术改造和升级、落后产能淘汰计划实施，加大清洁能源利用，发展循环经济，制定和完善大气环境保护等相关政策;</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(二)县级以上人民政府公安、交通运输、商务等部门对机动车以及非道路移动机械、油气回收治理等实施监督管理;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(三)县级以上人民政府住房和城乡建设、国土资源、交通运输、城市管理、工业和信息化等部门对建筑扬尘、矿山扬尘、道路扬尘、企业料堆场等实施监督管理;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第四十条  企业料堆场应当按照有关规定进行封闭，不能封闭的应当安装防尘设施或者采取其他抑尘措施。装卸易产生扬尘的物料时，应当采取密闭或者喷淋等抑尘措施。</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第八十四条  违反本条例规定，企业事业单位和其他生产经营者有下列行为之一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(一)各类工程建设、矿产资源开采和加工等未采取有效措施防治扬尘污染的;</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(二)企业料堆场未采取有效措施防治扬尘污染的。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eastAsia"/>
                <w:color w:val="auto"/>
                <w:lang w:val="en-US" w:eastAsia="zh-CN" w:bidi="ar"/>
              </w:rPr>
            </w:pPr>
            <w:r>
              <w:rPr>
                <w:rStyle w:val="7"/>
                <w:rFonts w:hint="eastAsia"/>
                <w:color w:val="auto"/>
                <w:lang w:val="en-US" w:eastAsia="zh-CN" w:bidi="ar"/>
              </w:rPr>
              <w:t>沙河市科技和工业信息化局</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hint="default"/>
                <w:color w:val="auto"/>
                <w:lang w:val="en-US" w:eastAsia="zh-CN" w:bidi="ar"/>
              </w:rPr>
            </w:pPr>
            <w:r>
              <w:rPr>
                <w:rStyle w:val="7"/>
                <w:rFonts w:hint="eastAsia"/>
                <w:color w:val="auto"/>
                <w:lang w:val="en-US" w:eastAsia="zh-CN" w:bidi="ar"/>
              </w:rPr>
              <w:t>每个工业、制造业企业每年上限3次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2"/>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对民爆行业安全生产的执法检查</w:t>
            </w:r>
          </w:p>
        </w:tc>
        <w:tc>
          <w:tcPr>
            <w:tcW w:w="9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auto"/>
                <w:kern w:val="2"/>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《民用爆炸物品安全管理条例》（2006年5月10日中华人民共和国国务院令第466号公布。根</w:t>
            </w:r>
            <w:r>
              <w:rPr>
                <w:rFonts w:hint="eastAsia" w:ascii="仿宋" w:hAnsi="仿宋" w:eastAsia="仿宋" w:cs="仿宋"/>
                <w:i w:val="0"/>
                <w:color w:val="auto"/>
                <w:kern w:val="0"/>
                <w:sz w:val="20"/>
                <w:szCs w:val="20"/>
                <w:u w:val="none"/>
                <w:lang w:val="en-US" w:eastAsia="zh-CN" w:bidi="ar"/>
              </w:rPr>
              <w:t>据2014年7月29日《国务院关于修改部分行政法规的决定》修订）第四条：民用爆炸物品行业主管部门负责民用爆炸物品生产、销售的安全监督管理。</w:t>
            </w:r>
            <w:r>
              <w:rPr>
                <w:rFonts w:hint="eastAsia" w:ascii="仿宋" w:hAnsi="仿宋" w:eastAsia="仿宋" w:cs="仿宋"/>
                <w:i w:val="0"/>
                <w:color w:val="auto"/>
                <w:kern w:val="0"/>
                <w:sz w:val="20"/>
                <w:szCs w:val="20"/>
                <w:u w:val="none"/>
                <w:lang w:val="en-US" w:eastAsia="zh-CN" w:bidi="ar"/>
              </w:rPr>
              <w:br w:type="textWrapping"/>
            </w:r>
            <w:r>
              <w:rPr>
                <w:rStyle w:val="7"/>
                <w:color w:val="auto"/>
                <w:lang w:val="en-US" w:eastAsia="zh-CN" w:bidi="ar"/>
              </w:rPr>
              <w:t>《民用爆炸物品安全生产许可实施办法》（中华人民共和国工业和信息化部令 第30号）第三条：工业和信息化部负责指导、监督全国民用爆炸物品生产企业安全生产许可的审批和管理工作。省、自治区、直辖市人民政府民用爆炸物品行业主管部门（以下简称省级民爆行业主管部门）负责民用爆炸物品生产企业安全生产许可的审批和监督管理。设区的市和县级人民政府民用爆炸物品行业主管部门在各自职责范围内依法对民用爆炸物品安全生产工作实施监督管理。</w:t>
            </w:r>
            <w:r>
              <w:rPr>
                <w:rStyle w:val="7"/>
                <w:color w:val="auto"/>
                <w:lang w:val="en-US" w:eastAsia="zh-CN" w:bidi="ar"/>
              </w:rPr>
              <w:br w:type="textWrapping"/>
            </w:r>
            <w:r>
              <w:rPr>
                <w:rStyle w:val="7"/>
                <w:color w:val="auto"/>
                <w:lang w:val="en-US" w:eastAsia="zh-CN" w:bidi="ar"/>
              </w:rPr>
              <w:t>《民用爆炸物品销售许可实施办法》（2006年8月31日中华人民共和国国防科学技术工业委员会令第18号公布。根据2015年4月29日中华人民共和国工业和信息化部令第29号公布的《工业和信息化部关于修改部分规章的决定》修订）第四条：国防科学技术工业委员会（以下简称国防科工委）负责制定民用爆炸物品销售许可的政策、规章、审查标准和技术规范，对民用爆炸物品销售许可实施监督管理。省、自治区、直辖市人民政府国防科技工业主管部门（以下简称省级国防科技工业主管部门）负责本辖区内民用爆炸物品销售许可申请的受理、审查和《民用爆炸物品销售许可证》的颁发及日常监督管理。地（市）、县级人民政府民用爆炸物品主管部门，协助省级国防科技工业主管部门做好本行政区内民用爆炸物品销售许可的监督管理工作，其职责由省级国防科技工业主管部门规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0"/>
                <w:szCs w:val="20"/>
                <w:u w:val="none"/>
                <w:lang w:val="en-US" w:eastAsia="zh-CN" w:bidi="ar"/>
              </w:rPr>
            </w:pPr>
            <w:r>
              <w:rPr>
                <w:rStyle w:val="7"/>
                <w:rFonts w:hint="eastAsia"/>
                <w:color w:val="auto"/>
                <w:lang w:val="en-US" w:eastAsia="zh-CN" w:bidi="ar"/>
              </w:rPr>
              <w:t>沙河市科技和工业信息化局</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0"/>
                <w:szCs w:val="20"/>
                <w:u w:val="none"/>
                <w:lang w:val="en-US" w:eastAsia="zh-CN" w:bidi="ar"/>
              </w:rPr>
            </w:pPr>
            <w:r>
              <w:rPr>
                <w:rStyle w:val="7"/>
                <w:color w:val="auto"/>
                <w:lang w:val="en-US" w:eastAsia="zh-CN" w:bidi="ar"/>
              </w:rPr>
              <w:t>每月一次</w:t>
            </w:r>
          </w:p>
        </w:tc>
      </w:tr>
    </w:tbl>
    <w:p>
      <w:pPr>
        <w:jc w:val="center"/>
        <w:rPr>
          <w:rFonts w:hint="eastAsia" w:ascii="方正小标宋简体" w:hAnsi="方正小标宋简体" w:eastAsia="方正小标宋简体" w:cs="方正小标宋简体"/>
          <w:i w:val="0"/>
          <w:color w:val="000000"/>
          <w:kern w:val="0"/>
          <w:sz w:val="32"/>
          <w:szCs w:val="32"/>
          <w:u w:val="none"/>
          <w:lang w:val="en-US" w:eastAsia="zh-CN" w:bidi="ar"/>
        </w:rPr>
      </w:pPr>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30151"/>
    <w:rsid w:val="25530151"/>
    <w:rsid w:val="29C37181"/>
    <w:rsid w:val="32393074"/>
    <w:rsid w:val="37757CAD"/>
    <w:rsid w:val="3DCA21DC"/>
    <w:rsid w:val="6184675A"/>
    <w:rsid w:val="63BA5B17"/>
    <w:rsid w:val="75352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01"/>
    <w:basedOn w:val="6"/>
    <w:qFormat/>
    <w:uiPriority w:val="0"/>
    <w:rPr>
      <w:rFonts w:hint="eastAsia" w:ascii="仿宋" w:hAnsi="仿宋" w:eastAsia="仿宋" w:cs="仿宋"/>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2025-04-29T08:23:00Z</dcterms:created>
  <dc:creator>User</dc:creator>
  <cp:lastModifiedBy>Administrator</cp:lastModifiedBy>
  <cp:lastPrinted>2025-04-30T07:13:00Z</cp:lastPrinted>
  <dcterms:modified xsi:type="dcterms:W3CDTF">2025-05-13T09:03:23Z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4B2F7EF11FDD45318E947C93A6FCEBB5</vt:lpwstr>
  </property>
</Properties>
</file>